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hAnsi="宋体"/>
          <w:b/>
          <w:color w:val="auto"/>
          <w:sz w:val="44"/>
          <w:lang w:eastAsia="zh-CN"/>
        </w:rPr>
      </w:pPr>
      <w:r>
        <w:rPr>
          <w:rFonts w:hint="eastAsia" w:hAnsi="宋体"/>
          <w:b/>
          <w:color w:val="auto"/>
          <w:sz w:val="44"/>
          <w:lang w:eastAsia="zh-CN"/>
        </w:rPr>
        <w:t>202</w:t>
      </w:r>
      <w:r>
        <w:rPr>
          <w:rFonts w:hint="eastAsia" w:hAnsi="宋体"/>
          <w:b/>
          <w:color w:val="auto"/>
          <w:sz w:val="44"/>
          <w:lang w:val="en-US" w:eastAsia="zh-CN"/>
        </w:rPr>
        <w:t>2亚太电协CEO会议</w:t>
      </w:r>
      <w:r>
        <w:rPr>
          <w:rFonts w:hint="eastAsia" w:hAnsi="宋体"/>
          <w:b/>
          <w:color w:val="auto"/>
          <w:sz w:val="44"/>
          <w:lang w:eastAsia="zh-CN"/>
        </w:rPr>
        <w:t>项目支出</w:t>
      </w:r>
    </w:p>
    <w:p>
      <w:pPr>
        <w:spacing w:line="620" w:lineRule="exact"/>
        <w:jc w:val="center"/>
        <w:rPr>
          <w:rFonts w:hint="eastAsia" w:hAnsi="宋体"/>
          <w:b/>
          <w:color w:val="auto"/>
          <w:sz w:val="44"/>
        </w:rPr>
      </w:pPr>
      <w:r>
        <w:rPr>
          <w:rFonts w:hint="eastAsia" w:hAnsi="宋体"/>
          <w:b/>
          <w:color w:val="auto"/>
          <w:sz w:val="44"/>
          <w:lang w:val="en-US" w:eastAsia="zh-CN"/>
        </w:rPr>
        <w:t xml:space="preserve"> </w:t>
      </w:r>
      <w:r>
        <w:rPr>
          <w:rFonts w:hint="eastAsia" w:hAnsi="宋体"/>
          <w:b/>
          <w:color w:val="auto"/>
          <w:sz w:val="44"/>
          <w:lang w:eastAsia="zh-CN"/>
        </w:rPr>
        <w:t>绩效自评报告</w:t>
      </w:r>
    </w:p>
    <w:p>
      <w:pPr>
        <w:spacing w:line="660" w:lineRule="exact"/>
        <w:ind w:firstLine="642"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一、项目概况</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（一）项目基本性质、用途和主要内容</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 xml:space="preserve">2022 亚太电协 CEO 会议(简称：“CEO 会议”)于 2022 </w:t>
      </w:r>
    </w:p>
    <w:p>
      <w:pPr>
        <w:keepNext w:val="0"/>
        <w:keepLines w:val="0"/>
        <w:widowControl/>
        <w:suppressLineNumbers w:val="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 xml:space="preserve">年 11 月 8-10 日（展览时间：11 月 9-10 日）在海南国际会 </w:t>
      </w:r>
    </w:p>
    <w:p>
      <w:pPr>
        <w:keepNext w:val="0"/>
        <w:keepLines w:val="0"/>
        <w:widowControl/>
        <w:suppressLineNumbers w:val="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 xml:space="preserve">展中心举办。 </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CEO 会议由东亚及西太平洋电力工业协会、中国电力企业联合会共同主办，海南省人民政府支持，中国国际贸易促进委员会电力行业委员会承办，英奇展示设计工程（海南）有限责任公司执行承办，作为能源电力行业备受瞩目的国际盛会，2022 亚太电协 CEO 会议以“绿色低碳，电亮未来”为主题，本次盛会设置了主旨演讲、高端对话、线下展览等环节，旨在加强能源行业合作交流，推动能源绿色低碳转型，实现能源可持续发展，建设清洁美丽世界，共创亚太能源合作美好未来。</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作为专业化、市场化、国际化的活动，</w:t>
      </w:r>
      <w:r>
        <w:rPr>
          <w:rFonts w:hint="eastAsia" w:ascii="仿宋" w:hAnsi="仿宋" w:eastAsia="仿宋" w:cs="仿宋"/>
          <w:color w:val="auto"/>
          <w:kern w:val="0"/>
          <w:sz w:val="32"/>
          <w:szCs w:val="32"/>
          <w:lang w:val="en-US" w:eastAsia="zh-CN"/>
        </w:rPr>
        <w:t xml:space="preserve">此次CEO会议和展览有效推动了海南省与亚太地区在能源领域强化产业合作，为海南省提供了一个促进区域产业链、供应链、价值链深度融合，带动 </w:t>
      </w:r>
    </w:p>
    <w:p>
      <w:pPr>
        <w:keepNext w:val="0"/>
        <w:keepLines w:val="0"/>
        <w:widowControl/>
        <w:suppressLineNumbers w:val="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能源投资技术创新等方面互动交流的高端平台。</w:t>
      </w:r>
    </w:p>
    <w:p>
      <w:pPr>
        <w:keepNext w:val="0"/>
        <w:keepLines w:val="0"/>
        <w:widowControl/>
        <w:suppressLineNumbers w:val="0"/>
        <w:ind w:firstLine="640" w:firstLineChars="200"/>
        <w:jc w:val="left"/>
        <w:rPr>
          <w:rFonts w:hint="eastAsia" w:ascii="仿宋" w:hAnsi="仿宋" w:eastAsia="仿宋" w:cs="仿宋"/>
          <w:color w:val="auto"/>
          <w:sz w:val="32"/>
          <w:szCs w:val="32"/>
        </w:rPr>
      </w:pP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（二）项目绩效目标</w:t>
      </w:r>
    </w:p>
    <w:p>
      <w:pPr>
        <w:spacing w:line="660" w:lineRule="exact"/>
        <w:rPr>
          <w:rFonts w:hint="eastAsia" w:ascii="仿宋" w:hAnsi="仿宋" w:eastAsia="仿宋" w:cs="仿宋"/>
          <w:b w:val="0"/>
          <w:bCs/>
          <w:color w:val="auto"/>
          <w:spacing w:val="-2"/>
          <w:sz w:val="32"/>
          <w:szCs w:val="32"/>
          <w:lang w:eastAsia="zh-CN"/>
        </w:rPr>
      </w:pPr>
      <w:r>
        <w:rPr>
          <w:rFonts w:hint="eastAsia" w:ascii="仿宋" w:hAnsi="仿宋" w:eastAsia="仿宋" w:cs="仿宋"/>
          <w:b/>
          <w:color w:val="auto"/>
          <w:sz w:val="32"/>
          <w:szCs w:val="32"/>
        </w:rPr>
        <w:t xml:space="preserve">   </w:t>
      </w:r>
      <w:r>
        <w:rPr>
          <w:rFonts w:hint="eastAsia" w:ascii="仿宋" w:hAnsi="仿宋" w:eastAsia="仿宋" w:cs="仿宋"/>
          <w:b w:val="0"/>
          <w:bCs/>
          <w:color w:val="auto"/>
          <w:sz w:val="32"/>
          <w:szCs w:val="32"/>
        </w:rPr>
        <w:t>以习近平总书记“4.13”重要讲话、《中国（海南）自由贸易试验区总体方案》、《海南自由贸易港建设总体方案》为指导，贯彻落实省委、省政府关于</w:t>
      </w:r>
      <w:r>
        <w:rPr>
          <w:rFonts w:hint="eastAsia" w:ascii="仿宋" w:hAnsi="仿宋" w:eastAsia="仿宋" w:cs="仿宋"/>
          <w:b w:val="0"/>
          <w:bCs/>
          <w:color w:val="auto"/>
          <w:sz w:val="32"/>
          <w:szCs w:val="32"/>
          <w:lang w:val="en-US" w:eastAsia="zh-CN"/>
        </w:rPr>
        <w:t>全面</w:t>
      </w:r>
      <w:r>
        <w:rPr>
          <w:rFonts w:hint="eastAsia" w:ascii="仿宋" w:hAnsi="仿宋" w:eastAsia="仿宋" w:cs="仿宋"/>
          <w:b w:val="0"/>
          <w:bCs/>
          <w:color w:val="auto"/>
          <w:sz w:val="32"/>
          <w:szCs w:val="32"/>
        </w:rPr>
        <w:t>发展</w:t>
      </w:r>
      <w:r>
        <w:rPr>
          <w:rFonts w:hint="eastAsia" w:ascii="仿宋" w:hAnsi="仿宋" w:eastAsia="仿宋" w:cs="仿宋"/>
          <w:b w:val="0"/>
          <w:bCs/>
          <w:color w:val="auto"/>
          <w:sz w:val="32"/>
          <w:szCs w:val="32"/>
          <w:lang w:val="en-US" w:eastAsia="zh-CN"/>
        </w:rPr>
        <w:t>清洁能源岛建设</w:t>
      </w:r>
      <w:r>
        <w:rPr>
          <w:rFonts w:hint="eastAsia" w:ascii="仿宋" w:hAnsi="仿宋" w:eastAsia="仿宋" w:cs="仿宋"/>
          <w:b w:val="0"/>
          <w:bCs/>
          <w:color w:val="auto"/>
          <w:sz w:val="32"/>
          <w:szCs w:val="32"/>
        </w:rPr>
        <w:t>的战略部署，</w:t>
      </w:r>
      <w:r>
        <w:rPr>
          <w:rFonts w:hint="eastAsia" w:ascii="仿宋" w:hAnsi="仿宋" w:eastAsia="仿宋" w:cs="仿宋"/>
          <w:i w:val="0"/>
          <w:iCs w:val="0"/>
          <w:caps w:val="0"/>
          <w:color w:val="auto"/>
          <w:spacing w:val="0"/>
          <w:sz w:val="32"/>
          <w:szCs w:val="32"/>
          <w:shd w:val="clear" w:color="auto" w:fill="FFFFFF"/>
        </w:rPr>
        <w:t>充分发挥海南丰富的清洁能源优势，大幅提高清洁能源比重，加速能源结构清洁化转型，加快构建安全、绿色、集约、高效的清洁能源供应体系</w:t>
      </w:r>
      <w:r>
        <w:rPr>
          <w:rFonts w:hint="eastAsia" w:ascii="仿宋" w:hAnsi="仿宋" w:eastAsia="仿宋" w:cs="仿宋"/>
          <w:i w:val="0"/>
          <w:iCs w:val="0"/>
          <w:caps w:val="0"/>
          <w:color w:val="auto"/>
          <w:spacing w:val="0"/>
          <w:sz w:val="32"/>
          <w:szCs w:val="32"/>
          <w:shd w:val="clear" w:color="auto" w:fill="FFFFFF"/>
          <w:lang w:eastAsia="zh-CN"/>
        </w:rPr>
        <w:t>，</w:t>
      </w:r>
      <w:r>
        <w:rPr>
          <w:rFonts w:hint="eastAsia" w:ascii="仿宋" w:hAnsi="仿宋" w:eastAsia="仿宋" w:cs="仿宋"/>
          <w:i w:val="0"/>
          <w:iCs w:val="0"/>
          <w:caps w:val="0"/>
          <w:color w:val="auto"/>
          <w:spacing w:val="0"/>
          <w:sz w:val="32"/>
          <w:szCs w:val="32"/>
          <w:shd w:val="clear" w:color="auto" w:fill="FFFFFF"/>
        </w:rPr>
        <w:t>全面推动清洁能源岛建设</w:t>
      </w:r>
      <w:r>
        <w:rPr>
          <w:rFonts w:hint="eastAsia" w:ascii="仿宋" w:hAnsi="仿宋" w:eastAsia="仿宋" w:cs="仿宋"/>
          <w:i w:val="0"/>
          <w:iCs w:val="0"/>
          <w:caps w:val="0"/>
          <w:color w:val="auto"/>
          <w:spacing w:val="0"/>
          <w:sz w:val="32"/>
          <w:szCs w:val="32"/>
          <w:shd w:val="clear" w:color="auto" w:fill="FFFFFF"/>
          <w:lang w:eastAsia="zh-CN"/>
        </w:rPr>
        <w:t>。</w:t>
      </w:r>
    </w:p>
    <w:p>
      <w:pPr>
        <w:spacing w:line="660" w:lineRule="exact"/>
        <w:ind w:firstLine="642"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二、项目资金使用及管理情况</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（一）项目资金到位情况分析</w:t>
      </w:r>
    </w:p>
    <w:p>
      <w:pPr>
        <w:spacing w:line="660" w:lineRule="exact"/>
        <w:ind w:firstLine="640" w:firstLineChars="200"/>
        <w:rPr>
          <w:rFonts w:hint="eastAsia" w:ascii="仿宋" w:hAnsi="仿宋" w:eastAsia="仿宋_GB2312" w:cs="仿宋"/>
          <w:color w:val="auto"/>
          <w:sz w:val="32"/>
          <w:szCs w:val="32"/>
          <w:lang w:eastAsia="zh-CN"/>
        </w:rPr>
      </w:pPr>
      <w:r>
        <w:rPr>
          <w:rFonts w:hint="eastAsia" w:ascii="仿宋" w:hAnsi="仿宋" w:eastAsia="仿宋" w:cs="仿宋"/>
          <w:color w:val="auto"/>
          <w:kern w:val="0"/>
          <w:sz w:val="32"/>
          <w:szCs w:val="32"/>
          <w:lang w:val="en-US" w:eastAsia="zh-CN"/>
        </w:rPr>
        <w:t>2022 亚太电协 CEO 会议</w:t>
      </w:r>
      <w:r>
        <w:rPr>
          <w:rFonts w:hint="eastAsia" w:ascii="仿宋" w:hAnsi="仿宋" w:eastAsia="仿宋" w:cs="仿宋"/>
          <w:color w:val="auto"/>
          <w:sz w:val="32"/>
          <w:szCs w:val="32"/>
          <w:lang w:eastAsia="zh-CN"/>
        </w:rPr>
        <w:t>采取市场化运作收到展位费，事后</w:t>
      </w:r>
      <w:r>
        <w:rPr>
          <w:rFonts w:hint="eastAsia" w:ascii="仿宋" w:hAnsi="仿宋" w:eastAsia="仿宋" w:cs="仿宋"/>
          <w:color w:val="auto"/>
          <w:sz w:val="32"/>
          <w:szCs w:val="32"/>
        </w:rPr>
        <w:t>按照《海南省支持会展业资金管理办法》</w:t>
      </w:r>
      <w:r>
        <w:rPr>
          <w:rFonts w:hint="eastAsia" w:ascii="仿宋" w:hAnsi="仿宋" w:eastAsia="仿宋" w:cs="仿宋"/>
          <w:color w:val="auto"/>
          <w:sz w:val="32"/>
          <w:szCs w:val="32"/>
          <w:lang w:eastAsia="zh-CN"/>
        </w:rPr>
        <w:t>申报省级会展项目奖励资金，奖励资金</w:t>
      </w:r>
      <w:r>
        <w:rPr>
          <w:rFonts w:hint="eastAsia" w:ascii="仿宋" w:hAnsi="仿宋" w:eastAsia="仿宋" w:cs="仿宋"/>
          <w:color w:val="auto"/>
          <w:sz w:val="32"/>
          <w:szCs w:val="32"/>
          <w:lang w:val="en-US" w:eastAsia="zh-CN"/>
        </w:rPr>
        <w:t>406</w:t>
      </w:r>
      <w:r>
        <w:rPr>
          <w:rFonts w:hint="eastAsia" w:ascii="仿宋" w:hAnsi="仿宋" w:eastAsia="仿宋" w:cs="仿宋"/>
          <w:color w:val="auto"/>
          <w:sz w:val="32"/>
          <w:szCs w:val="32"/>
        </w:rPr>
        <w:t>.6</w:t>
      </w:r>
      <w:r>
        <w:rPr>
          <w:rFonts w:hint="eastAsia" w:ascii="仿宋" w:hAnsi="仿宋" w:eastAsia="仿宋" w:cs="仿宋"/>
          <w:color w:val="auto"/>
          <w:sz w:val="32"/>
          <w:szCs w:val="32"/>
          <w:lang w:val="en-US" w:eastAsia="zh-CN"/>
        </w:rPr>
        <w:t>517</w:t>
      </w:r>
      <w:r>
        <w:rPr>
          <w:rFonts w:hint="eastAsia" w:ascii="仿宋" w:hAnsi="仿宋" w:eastAsia="仿宋" w:cs="仿宋"/>
          <w:color w:val="auto"/>
          <w:sz w:val="32"/>
          <w:szCs w:val="32"/>
        </w:rPr>
        <w:t>万元</w:t>
      </w:r>
      <w:r>
        <w:rPr>
          <w:rFonts w:hint="eastAsia" w:ascii="仿宋_GB2312" w:eastAsia="仿宋_GB2312"/>
          <w:b w:val="0"/>
          <w:bCs/>
          <w:color w:val="auto"/>
          <w:sz w:val="32"/>
          <w:lang w:eastAsia="zh-CN"/>
        </w:rPr>
        <w:t>已全部到账，资金到位率</w:t>
      </w:r>
      <w:r>
        <w:rPr>
          <w:rFonts w:hint="eastAsia" w:ascii="仿宋_GB2312" w:eastAsia="仿宋_GB2312"/>
          <w:b w:val="0"/>
          <w:bCs/>
          <w:color w:val="auto"/>
          <w:sz w:val="32"/>
          <w:lang w:val="en-US" w:eastAsia="zh-CN"/>
        </w:rPr>
        <w:t>100%</w:t>
      </w:r>
      <w:r>
        <w:rPr>
          <w:rFonts w:hint="eastAsia" w:ascii="仿宋_GB2312" w:eastAsia="仿宋_GB2312"/>
          <w:b w:val="0"/>
          <w:bCs/>
          <w:color w:val="auto"/>
          <w:sz w:val="32"/>
          <w:lang w:eastAsia="zh-CN"/>
        </w:rPr>
        <w:t>。</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（二）项目资金使用情况分析</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截止到202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年12月31日，项目资金已支出</w:t>
      </w:r>
      <w:r>
        <w:rPr>
          <w:rFonts w:hint="default" w:ascii="仿宋" w:hAnsi="仿宋" w:eastAsia="仿宋" w:cs="仿宋"/>
          <w:color w:val="auto"/>
          <w:sz w:val="32"/>
          <w:szCs w:val="32"/>
          <w:lang w:val="en-US"/>
        </w:rPr>
        <w:t>1305.8</w:t>
      </w:r>
      <w:r>
        <w:rPr>
          <w:rFonts w:hint="eastAsia" w:ascii="仿宋" w:hAnsi="仿宋" w:eastAsia="仿宋" w:cs="仿宋"/>
          <w:color w:val="auto"/>
          <w:sz w:val="32"/>
          <w:szCs w:val="32"/>
        </w:rPr>
        <w:t>万元，主要用于支付</w:t>
      </w:r>
      <w:r>
        <w:rPr>
          <w:rFonts w:hint="eastAsia" w:ascii="仿宋" w:hAnsi="仿宋" w:eastAsia="仿宋" w:cs="仿宋"/>
          <w:color w:val="auto"/>
          <w:sz w:val="32"/>
          <w:szCs w:val="32"/>
          <w:lang w:val="en-US" w:eastAsia="zh-CN"/>
        </w:rPr>
        <w:t>2022亚太电协CEO会议和展览</w:t>
      </w:r>
      <w:r>
        <w:rPr>
          <w:rFonts w:hint="eastAsia" w:ascii="仿宋" w:hAnsi="仿宋" w:eastAsia="仿宋" w:cs="仿宋"/>
          <w:color w:val="auto"/>
          <w:sz w:val="32"/>
          <w:szCs w:val="32"/>
          <w:lang w:val="en-US"/>
        </w:rPr>
        <w:t>的全部</w:t>
      </w:r>
      <w:r>
        <w:rPr>
          <w:rFonts w:hint="eastAsia" w:ascii="仿宋" w:hAnsi="仿宋" w:eastAsia="仿宋" w:cs="仿宋"/>
          <w:color w:val="auto"/>
          <w:sz w:val="32"/>
          <w:szCs w:val="32"/>
        </w:rPr>
        <w:t>开支。</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（三）项目资金管理情况分析</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项目经费严格按照单位财务制度和预算支出范围使用。由海南省财政厅国库支付局统一核算，按照项目计划安排和实际工作情况开支，做到了专款专用，经费均按照海南省财政厅印发有关文件、通知精神执行。此次绩效评价过程中未发现有截留、挤占或挪用项目资金的情况。</w:t>
      </w:r>
    </w:p>
    <w:p>
      <w:pPr>
        <w:spacing w:line="660" w:lineRule="exact"/>
        <w:ind w:firstLine="648"/>
        <w:rPr>
          <w:rFonts w:hint="eastAsia" w:ascii="仿宋" w:hAnsi="仿宋" w:eastAsia="仿宋" w:cs="仿宋"/>
          <w:b/>
          <w:bCs/>
          <w:color w:val="auto"/>
          <w:sz w:val="32"/>
          <w:szCs w:val="32"/>
        </w:rPr>
      </w:pPr>
      <w:r>
        <w:rPr>
          <w:rFonts w:hint="eastAsia" w:ascii="仿宋" w:hAnsi="仿宋" w:eastAsia="仿宋" w:cs="仿宋"/>
          <w:b/>
          <w:bCs/>
          <w:color w:val="auto"/>
          <w:sz w:val="32"/>
          <w:szCs w:val="32"/>
        </w:rPr>
        <w:t>三、项目组织实施情况</w:t>
      </w:r>
    </w:p>
    <w:p>
      <w:pPr>
        <w:spacing w:line="660" w:lineRule="exact"/>
        <w:ind w:firstLine="648"/>
        <w:rPr>
          <w:rFonts w:hint="eastAsia" w:ascii="仿宋" w:hAnsi="仿宋" w:eastAsia="仿宋" w:cs="仿宋"/>
          <w:color w:val="auto"/>
          <w:sz w:val="32"/>
          <w:szCs w:val="32"/>
        </w:rPr>
      </w:pPr>
      <w:r>
        <w:rPr>
          <w:rFonts w:hint="eastAsia" w:ascii="仿宋" w:hAnsi="仿宋" w:eastAsia="仿宋" w:cs="仿宋"/>
          <w:color w:val="auto"/>
          <w:sz w:val="32"/>
          <w:szCs w:val="32"/>
        </w:rPr>
        <w:t>（一）项目组织情况分析</w:t>
      </w:r>
    </w:p>
    <w:p>
      <w:pPr>
        <w:keepNext w:val="0"/>
        <w:keepLines w:val="0"/>
        <w:widowControl/>
        <w:suppressLineNumbers w:val="0"/>
        <w:ind w:firstLine="640" w:firstLineChars="200"/>
        <w:jc w:val="left"/>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CEO会议围绕全球能源发展现状和趋势等国际话题进行主旨演讲 13 场、高端对话 1 场，会场使用总面积达2499平方米。国际能源署（IEA）可再生能源部主任保罗·弗兰克尔，联合国亚洲及太平洋经济社会委员会能源司司长刘鸿鹏，中国工程院院士、华北电力大学原校长、新能源电力系统国家中电实验室主任刘吉臻，中国工程院院士中国电科院名誉院长郭剑波，德国工程院院士、天府永兴实验室首席科学家雷宪章等院士专家围绕全球能源发展进行主旨演讲和高端对话。会议总计1200 多人参与，其中高端嘉宾达40多人（含副部级以上政府领导、世界500强高管、两院院士、长江学者等）。</w:t>
      </w:r>
    </w:p>
    <w:p>
      <w:pPr>
        <w:keepNext w:val="0"/>
        <w:keepLines w:val="0"/>
        <w:widowControl/>
        <w:suppressLineNumbers w:val="0"/>
        <w:ind w:firstLine="640" w:firstLineChars="200"/>
        <w:jc w:val="left"/>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同期主题展览，面积达 12980平方米，实际展出面积4936 平方米，折合国际标准展位 548.4 个，其中省外展览面积 4936 平方米，折合标准展位 548.4 个，省内展出面积0 平方米。特装展出面积共 4900 平方米，占总展出面积的99%。CEO 会议共有 23 家展商参展，其中世界 500 强参展企业占 11 家，占比 48%。总计吸引国内外线上线下专业买家2600 余人，现场观众数量达 11600多人次，线上观众超 300 万人次，意向签约成交额3000万元。</w:t>
      </w:r>
    </w:p>
    <w:p>
      <w:pPr>
        <w:keepNext w:val="0"/>
        <w:keepLines w:val="0"/>
        <w:widowControl/>
        <w:suppressLineNumbers w:val="0"/>
        <w:ind w:firstLine="640" w:firstLineChars="200"/>
        <w:jc w:val="left"/>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活动总计超500家中外主流媒体进行前、中、后期跟踪报道。</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（二）项目管理情况分析</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lang w:val="en-US" w:eastAsia="zh-CN"/>
        </w:rPr>
        <w:t>英奇展示设计工程（海南）有限责任公司</w:t>
      </w:r>
      <w:r>
        <w:rPr>
          <w:rFonts w:hint="eastAsia" w:ascii="仿宋" w:hAnsi="仿宋" w:eastAsia="仿宋" w:cs="仿宋"/>
          <w:bCs/>
          <w:color w:val="auto"/>
          <w:sz w:val="32"/>
          <w:szCs w:val="32"/>
        </w:rPr>
        <w:t>在项目执行过程中，严格遵守</w:t>
      </w:r>
      <w:r>
        <w:rPr>
          <w:rFonts w:hint="eastAsia" w:ascii="仿宋" w:hAnsi="仿宋" w:eastAsia="仿宋" w:cs="仿宋"/>
          <w:bCs/>
          <w:color w:val="auto"/>
          <w:sz w:val="32"/>
          <w:szCs w:val="32"/>
          <w:lang w:eastAsia="zh-CN"/>
        </w:rPr>
        <w:t>相关法规</w:t>
      </w:r>
      <w:r>
        <w:rPr>
          <w:rFonts w:hint="eastAsia" w:ascii="仿宋" w:hAnsi="仿宋" w:eastAsia="仿宋" w:cs="仿宋"/>
          <w:bCs/>
          <w:color w:val="auto"/>
          <w:sz w:val="32"/>
          <w:szCs w:val="32"/>
          <w:lang w:val="en-US" w:eastAsia="zh-CN"/>
        </w:rPr>
        <w:t>及</w:t>
      </w:r>
      <w:r>
        <w:rPr>
          <w:rFonts w:hint="eastAsia" w:ascii="仿宋" w:hAnsi="仿宋" w:eastAsia="仿宋" w:cs="仿宋"/>
          <w:color w:val="auto"/>
          <w:sz w:val="32"/>
          <w:szCs w:val="32"/>
          <w:lang w:eastAsia="zh-CN"/>
        </w:rPr>
        <w:t>有关条款</w:t>
      </w:r>
      <w:r>
        <w:rPr>
          <w:rFonts w:hint="eastAsia" w:ascii="仿宋" w:hAnsi="仿宋" w:eastAsia="仿宋" w:cs="仿宋"/>
          <w:color w:val="auto"/>
          <w:sz w:val="32"/>
          <w:szCs w:val="32"/>
        </w:rPr>
        <w:t>，做到配套资金使用合规、专款专用，按时完成项目。</w:t>
      </w:r>
    </w:p>
    <w:p>
      <w:pPr>
        <w:spacing w:line="660" w:lineRule="exact"/>
        <w:rPr>
          <w:rFonts w:hint="eastAsia" w:ascii="仿宋" w:hAnsi="仿宋" w:eastAsia="仿宋" w:cs="仿宋"/>
          <w:b/>
          <w:bCs/>
          <w:color w:val="auto"/>
          <w:sz w:val="32"/>
          <w:szCs w:val="32"/>
        </w:rPr>
      </w:pPr>
      <w:r>
        <w:rPr>
          <w:rFonts w:hint="eastAsia" w:ascii="仿宋" w:hAnsi="仿宋" w:eastAsia="仿宋" w:cs="仿宋"/>
          <w:b/>
          <w:bCs/>
          <w:color w:val="auto"/>
          <w:sz w:val="32"/>
          <w:szCs w:val="32"/>
        </w:rPr>
        <w:t xml:space="preserve">    四、项目绩效情况</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（一）项目绩效目标完成情况分析</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1、项目的经济性分析</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（1）项目成本（预算）控制情况</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项目的实际支出与预算批复的用途相符，服务资金控制在预算范围内，项目资金收支平衡。</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（2）项目成本（预算）节约情况</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项目按规定程序进行，服务金额都控制在预算数内。    </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2、项目的效率性分析</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（1）项目的实施进度</w:t>
      </w:r>
    </w:p>
    <w:p>
      <w:pPr>
        <w:tabs>
          <w:tab w:val="center" w:pos="4473"/>
        </w:tabs>
        <w:spacing w:line="6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英奇展示设计工程（海南）有限责任公司</w:t>
      </w:r>
      <w:r>
        <w:rPr>
          <w:rFonts w:hint="eastAsia" w:ascii="仿宋" w:hAnsi="仿宋" w:eastAsia="仿宋" w:cs="仿宋"/>
          <w:color w:val="auto"/>
          <w:sz w:val="32"/>
          <w:szCs w:val="32"/>
        </w:rPr>
        <w:t>已按要求，将配套资金用于202</w:t>
      </w:r>
      <w:r>
        <w:rPr>
          <w:rFonts w:hint="eastAsia" w:ascii="仿宋" w:hAnsi="仿宋" w:eastAsia="仿宋" w:cs="仿宋"/>
          <w:color w:val="auto"/>
          <w:sz w:val="32"/>
          <w:szCs w:val="32"/>
          <w:lang w:val="en-US" w:eastAsia="zh-CN"/>
        </w:rPr>
        <w:t>2亚太电协CEO会议</w:t>
      </w:r>
      <w:r>
        <w:rPr>
          <w:rFonts w:hint="eastAsia" w:ascii="仿宋" w:hAnsi="仿宋" w:eastAsia="仿宋" w:cs="仿宋"/>
          <w:color w:val="auto"/>
          <w:sz w:val="32"/>
          <w:szCs w:val="32"/>
          <w:lang w:eastAsia="zh-CN"/>
        </w:rPr>
        <w:t>的实施</w:t>
      </w:r>
      <w:r>
        <w:rPr>
          <w:rFonts w:hint="eastAsia" w:ascii="仿宋" w:hAnsi="仿宋" w:eastAsia="仿宋" w:cs="仿宋"/>
          <w:color w:val="auto"/>
          <w:sz w:val="32"/>
          <w:szCs w:val="32"/>
        </w:rPr>
        <w:t>。</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（2）项目的完成质量</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项目严格按照</w:t>
      </w:r>
      <w:r>
        <w:rPr>
          <w:rFonts w:hint="eastAsia" w:ascii="仿宋" w:hAnsi="仿宋" w:eastAsia="仿宋" w:cs="仿宋"/>
          <w:color w:val="auto"/>
          <w:sz w:val="32"/>
          <w:szCs w:val="32"/>
          <w:lang w:val="en-US" w:eastAsia="zh-CN"/>
        </w:rPr>
        <w:t>2022亚太电协CEO会议</w:t>
      </w:r>
      <w:r>
        <w:rPr>
          <w:rFonts w:hint="eastAsia" w:ascii="仿宋" w:hAnsi="仿宋" w:eastAsia="仿宋" w:cs="仿宋"/>
          <w:color w:val="auto"/>
          <w:sz w:val="32"/>
          <w:szCs w:val="32"/>
        </w:rPr>
        <w:t>项目流程进行，</w:t>
      </w:r>
      <w:r>
        <w:rPr>
          <w:rFonts w:hint="eastAsia" w:ascii="仿宋" w:hAnsi="仿宋" w:eastAsia="仿宋" w:cs="仿宋"/>
          <w:color w:val="auto"/>
          <w:sz w:val="32"/>
          <w:szCs w:val="32"/>
          <w:lang w:eastAsia="zh-CN"/>
        </w:rPr>
        <w:t>海南省贸促会</w:t>
      </w:r>
      <w:r>
        <w:rPr>
          <w:rFonts w:hint="eastAsia" w:ascii="仿宋" w:hAnsi="仿宋" w:eastAsia="仿宋" w:cs="仿宋"/>
          <w:color w:val="auto"/>
          <w:sz w:val="32"/>
          <w:szCs w:val="32"/>
        </w:rPr>
        <w:t>安排专人跟踪负责，按照计划执行项目。</w:t>
      </w:r>
    </w:p>
    <w:p>
      <w:pPr>
        <w:numPr>
          <w:ilvl w:val="0"/>
          <w:numId w:val="1"/>
        </w:numPr>
        <w:tabs>
          <w:tab w:val="center" w:pos="4473"/>
        </w:tabs>
        <w:spacing w:line="6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项目的效益性分析</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（1）项目预期目标完成程度</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项目共设置</w:t>
      </w:r>
      <w:r>
        <w:rPr>
          <w:rFonts w:hint="eastAsia" w:ascii="仿宋" w:hAnsi="仿宋" w:eastAsia="仿宋" w:cs="仿宋"/>
          <w:color w:val="auto"/>
          <w:sz w:val="32"/>
          <w:lang w:eastAsia="zh-CN"/>
        </w:rPr>
        <w:t>六</w:t>
      </w:r>
      <w:r>
        <w:rPr>
          <w:rFonts w:hint="eastAsia" w:ascii="仿宋" w:hAnsi="仿宋" w:eastAsia="仿宋" w:cs="仿宋"/>
          <w:color w:val="auto"/>
          <w:sz w:val="32"/>
        </w:rPr>
        <w:t>个绩效指标，绩效目标全部完成。具体情况如下：</w:t>
      </w:r>
    </w:p>
    <w:p>
      <w:pPr>
        <w:tabs>
          <w:tab w:val="center" w:pos="4473"/>
        </w:tabs>
        <w:spacing w:line="660" w:lineRule="exact"/>
        <w:ind w:firstLine="640" w:firstLineChars="200"/>
        <w:jc w:val="left"/>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lang w:eastAsia="zh-CN"/>
        </w:rPr>
        <w:t>高端嘉宾（省部级领导、两院院士、知名教授学者、世界500强高管）数量：绩效目标为</w:t>
      </w:r>
      <w:r>
        <w:rPr>
          <w:rFonts w:hint="eastAsia" w:ascii="仿宋" w:hAnsi="仿宋" w:eastAsia="仿宋" w:cs="仿宋"/>
          <w:color w:val="auto"/>
          <w:sz w:val="32"/>
          <w:lang w:val="en-US" w:eastAsia="zh-CN"/>
        </w:rPr>
        <w:t>30名以上高端嘉宾</w:t>
      </w:r>
      <w:r>
        <w:rPr>
          <w:rFonts w:hint="eastAsia" w:ascii="仿宋" w:hAnsi="仿宋" w:eastAsia="仿宋" w:cs="仿宋"/>
          <w:color w:val="auto"/>
          <w:sz w:val="32"/>
          <w:lang w:eastAsia="zh-CN"/>
        </w:rPr>
        <w:t>，会议实到高端嘉宾数量</w:t>
      </w:r>
      <w:r>
        <w:rPr>
          <w:rFonts w:hint="eastAsia" w:ascii="仿宋" w:hAnsi="仿宋" w:eastAsia="仿宋" w:cs="仿宋"/>
          <w:color w:val="auto"/>
          <w:sz w:val="32"/>
          <w:lang w:val="en-US" w:eastAsia="zh-CN"/>
        </w:rPr>
        <w:t xml:space="preserve">为36人 </w:t>
      </w:r>
      <w:r>
        <w:rPr>
          <w:rFonts w:hint="eastAsia" w:ascii="仿宋" w:hAnsi="仿宋" w:eastAsia="仿宋" w:cs="仿宋"/>
          <w:color w:val="auto"/>
          <w:sz w:val="32"/>
          <w:lang w:eastAsia="zh-CN"/>
        </w:rPr>
        <w:t>，绩效指标完成情况为优；</w:t>
      </w:r>
    </w:p>
    <w:p>
      <w:pPr>
        <w:tabs>
          <w:tab w:val="center" w:pos="4473"/>
        </w:tabs>
        <w:spacing w:line="660" w:lineRule="exact"/>
        <w:ind w:firstLine="640" w:firstLineChars="200"/>
        <w:jc w:val="left"/>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-会议面积</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2200平方米以上</w:t>
      </w:r>
      <w:r>
        <w:rPr>
          <w:rFonts w:hint="eastAsia" w:ascii="仿宋" w:hAnsi="仿宋" w:eastAsia="仿宋" w:cs="仿宋"/>
          <w:color w:val="auto"/>
          <w:sz w:val="32"/>
          <w:lang w:eastAsia="zh-CN"/>
        </w:rPr>
        <w:t>，实际会议面积</w:t>
      </w:r>
      <w:r>
        <w:rPr>
          <w:rFonts w:hint="eastAsia" w:ascii="仿宋" w:hAnsi="仿宋" w:eastAsia="仿宋" w:cs="仿宋"/>
          <w:color w:val="auto"/>
          <w:sz w:val="32"/>
          <w:lang w:val="en-US" w:eastAsia="zh-CN"/>
        </w:rPr>
        <w:t>2449平方米</w:t>
      </w:r>
      <w:r>
        <w:rPr>
          <w:rFonts w:hint="eastAsia" w:ascii="仿宋" w:hAnsi="仿宋" w:eastAsia="仿宋" w:cs="仿宋"/>
          <w:color w:val="auto"/>
          <w:sz w:val="32"/>
          <w:lang w:eastAsia="zh-CN"/>
        </w:rPr>
        <w:t>，绩效指标完成情况为优；</w:t>
      </w:r>
    </w:p>
    <w:p>
      <w:pPr>
        <w:tabs>
          <w:tab w:val="center" w:pos="4473"/>
        </w:tabs>
        <w:spacing w:line="660" w:lineRule="exact"/>
        <w:ind w:firstLine="640" w:firstLineChars="200"/>
        <w:jc w:val="left"/>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lang w:eastAsia="zh-CN"/>
        </w:rPr>
        <w:t>展览面积：绩效目标为</w:t>
      </w:r>
      <w:r>
        <w:rPr>
          <w:rFonts w:hint="eastAsia" w:ascii="仿宋" w:hAnsi="仿宋" w:eastAsia="仿宋" w:cs="仿宋"/>
          <w:color w:val="auto"/>
          <w:sz w:val="32"/>
          <w:lang w:val="en-US" w:eastAsia="zh-CN"/>
        </w:rPr>
        <w:t>12000平方米以上</w:t>
      </w:r>
      <w:r>
        <w:rPr>
          <w:rFonts w:hint="eastAsia" w:ascii="仿宋" w:hAnsi="仿宋" w:eastAsia="仿宋" w:cs="仿宋"/>
          <w:color w:val="auto"/>
          <w:sz w:val="32"/>
          <w:lang w:eastAsia="zh-CN"/>
        </w:rPr>
        <w:t>，实际展览面积</w:t>
      </w:r>
      <w:r>
        <w:rPr>
          <w:rFonts w:hint="eastAsia" w:ascii="仿宋" w:hAnsi="仿宋" w:eastAsia="仿宋" w:cs="仿宋"/>
          <w:color w:val="auto"/>
          <w:sz w:val="32"/>
          <w:lang w:val="en-US" w:eastAsia="zh-CN"/>
        </w:rPr>
        <w:t>1280平方米</w:t>
      </w:r>
      <w:r>
        <w:rPr>
          <w:rFonts w:hint="eastAsia" w:ascii="仿宋" w:hAnsi="仿宋" w:eastAsia="仿宋" w:cs="仿宋"/>
          <w:color w:val="auto"/>
          <w:sz w:val="32"/>
          <w:lang w:eastAsia="zh-CN"/>
        </w:rPr>
        <w:t>，绩效指标完成情况为优；</w:t>
      </w:r>
    </w:p>
    <w:p>
      <w:pPr>
        <w:tabs>
          <w:tab w:val="center" w:pos="4473"/>
        </w:tabs>
        <w:spacing w:line="660" w:lineRule="exact"/>
        <w:ind w:firstLine="640" w:firstLineChars="200"/>
        <w:jc w:val="left"/>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lang w:eastAsia="zh-CN"/>
        </w:rPr>
        <w:t>参会参展人数：绩效目标为</w:t>
      </w:r>
      <w:r>
        <w:rPr>
          <w:rFonts w:hint="eastAsia" w:ascii="仿宋" w:hAnsi="仿宋" w:eastAsia="仿宋" w:cs="仿宋"/>
          <w:color w:val="auto"/>
          <w:sz w:val="32"/>
          <w:lang w:val="en-US" w:eastAsia="zh-CN"/>
        </w:rPr>
        <w:t>11000人次以上</w:t>
      </w:r>
      <w:r>
        <w:rPr>
          <w:rFonts w:hint="eastAsia" w:ascii="仿宋" w:hAnsi="仿宋" w:eastAsia="仿宋" w:cs="仿宋"/>
          <w:color w:val="auto"/>
          <w:sz w:val="32"/>
          <w:lang w:eastAsia="zh-CN"/>
        </w:rPr>
        <w:t>，实际参会参展</w:t>
      </w:r>
      <w:r>
        <w:rPr>
          <w:rFonts w:hint="eastAsia" w:ascii="仿宋" w:hAnsi="仿宋" w:eastAsia="仿宋" w:cs="仿宋"/>
          <w:color w:val="auto"/>
          <w:sz w:val="32"/>
          <w:lang w:val="en-US" w:eastAsia="zh-CN"/>
        </w:rPr>
        <w:t>12800人次</w:t>
      </w:r>
      <w:r>
        <w:rPr>
          <w:rFonts w:hint="eastAsia" w:ascii="仿宋" w:hAnsi="仿宋" w:eastAsia="仿宋" w:cs="仿宋"/>
          <w:color w:val="auto"/>
          <w:sz w:val="32"/>
          <w:lang w:eastAsia="zh-CN"/>
        </w:rPr>
        <w:t>，绩效指标完成情况为优；</w:t>
      </w:r>
    </w:p>
    <w:p>
      <w:pPr>
        <w:tabs>
          <w:tab w:val="center" w:pos="4473"/>
        </w:tabs>
        <w:spacing w:line="660" w:lineRule="exact"/>
        <w:ind w:firstLine="640" w:firstLineChars="200"/>
        <w:jc w:val="left"/>
        <w:rPr>
          <w:rFonts w:hint="eastAsia" w:ascii="仿宋" w:hAnsi="仿宋" w:eastAsia="仿宋" w:cs="仿宋"/>
          <w:color w:val="auto"/>
          <w:sz w:val="32"/>
          <w:lang w:eastAsia="zh-CN"/>
        </w:rPr>
      </w:pP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经济效益指标</w:t>
      </w:r>
      <w:r>
        <w:rPr>
          <w:rFonts w:hint="eastAsia" w:ascii="仿宋" w:hAnsi="仿宋" w:eastAsia="仿宋" w:cs="仿宋"/>
          <w:color w:val="auto"/>
          <w:sz w:val="32"/>
          <w:lang w:val="en-US" w:eastAsia="zh-CN"/>
        </w:rPr>
        <w:t>-意向</w:t>
      </w:r>
      <w:r>
        <w:rPr>
          <w:rFonts w:hint="eastAsia" w:ascii="仿宋" w:hAnsi="仿宋" w:eastAsia="仿宋" w:cs="仿宋"/>
          <w:color w:val="auto"/>
          <w:sz w:val="32"/>
        </w:rPr>
        <w:t>签约金额</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3000</w:t>
      </w:r>
      <w:r>
        <w:rPr>
          <w:rFonts w:hint="eastAsia" w:ascii="仿宋" w:hAnsi="仿宋" w:eastAsia="仿宋" w:cs="仿宋"/>
          <w:color w:val="auto"/>
          <w:sz w:val="32"/>
          <w:lang w:eastAsia="zh-CN"/>
        </w:rPr>
        <w:t>万元以上，实际完成意向签约金额</w:t>
      </w:r>
      <w:r>
        <w:rPr>
          <w:rFonts w:hint="eastAsia" w:ascii="仿宋" w:hAnsi="仿宋" w:eastAsia="仿宋" w:cs="仿宋"/>
          <w:color w:val="auto"/>
          <w:sz w:val="32"/>
          <w:lang w:val="en-US" w:eastAsia="zh-CN"/>
        </w:rPr>
        <w:t xml:space="preserve">3000 </w:t>
      </w:r>
      <w:r>
        <w:rPr>
          <w:rFonts w:hint="eastAsia" w:ascii="仿宋" w:hAnsi="仿宋" w:eastAsia="仿宋" w:cs="仿宋"/>
          <w:color w:val="auto"/>
          <w:sz w:val="32"/>
          <w:lang w:eastAsia="zh-CN"/>
        </w:rPr>
        <w:t>万元，绩效指标完成情况为优；</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可持续影响</w:t>
      </w:r>
      <w:r>
        <w:rPr>
          <w:rFonts w:hint="eastAsia" w:ascii="仿宋" w:hAnsi="仿宋" w:eastAsia="仿宋" w:cs="仿宋"/>
          <w:color w:val="auto"/>
          <w:sz w:val="32"/>
          <w:lang w:val="en-US" w:eastAsia="zh-CN"/>
        </w:rPr>
        <w:t>-</w:t>
      </w:r>
      <w:r>
        <w:rPr>
          <w:rFonts w:hint="eastAsia" w:ascii="仿宋" w:hAnsi="仿宋" w:eastAsia="仿宋" w:cs="仿宋"/>
          <w:color w:val="auto"/>
          <w:sz w:val="32"/>
        </w:rPr>
        <w:t>主流媒体报导</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300家以上媒体报道</w:t>
      </w:r>
      <w:r>
        <w:rPr>
          <w:rFonts w:hint="eastAsia" w:ascii="仿宋" w:hAnsi="仿宋" w:eastAsia="仿宋" w:cs="仿宋"/>
          <w:color w:val="auto"/>
          <w:sz w:val="32"/>
          <w:lang w:eastAsia="zh-CN"/>
        </w:rPr>
        <w:t>，实际完成主流媒体</w:t>
      </w:r>
      <w:r>
        <w:rPr>
          <w:rFonts w:hint="eastAsia" w:ascii="仿宋" w:hAnsi="仿宋" w:eastAsia="仿宋" w:cs="仿宋"/>
          <w:color w:val="auto"/>
          <w:sz w:val="32"/>
          <w:lang w:val="en-US" w:eastAsia="zh-CN"/>
        </w:rPr>
        <w:t>500家</w:t>
      </w:r>
      <w:r>
        <w:rPr>
          <w:rFonts w:hint="eastAsia" w:ascii="仿宋" w:hAnsi="仿宋" w:eastAsia="仿宋" w:cs="仿宋"/>
          <w:color w:val="auto"/>
          <w:sz w:val="32"/>
          <w:lang w:eastAsia="zh-CN"/>
        </w:rPr>
        <w:t>，绩效指标完成情况为优</w:t>
      </w:r>
      <w:r>
        <w:rPr>
          <w:rFonts w:ascii="仿宋" w:hAnsi="仿宋" w:eastAsia="仿宋" w:cs="仿宋"/>
          <w:color w:val="auto"/>
          <w:sz w:val="32"/>
        </w:rPr>
        <w:t>。</w:t>
      </w:r>
    </w:p>
    <w:p>
      <w:pPr>
        <w:tabs>
          <w:tab w:val="center" w:pos="4473"/>
        </w:tabs>
        <w:spacing w:line="660" w:lineRule="exact"/>
        <w:jc w:val="left"/>
        <w:rPr>
          <w:rFonts w:hint="eastAsia" w:ascii="仿宋" w:hAnsi="仿宋" w:eastAsia="仿宋" w:cs="仿宋"/>
          <w:color w:val="auto"/>
          <w:sz w:val="32"/>
          <w:szCs w:val="32"/>
        </w:rPr>
      </w:pP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（2）项目实施对经济社会的影响</w:t>
      </w:r>
      <w:r>
        <w:rPr>
          <w:rFonts w:hint="eastAsia" w:ascii="仿宋" w:hAnsi="仿宋" w:eastAsia="仿宋" w:cs="仿宋"/>
          <w:b/>
          <w:bCs/>
          <w:color w:val="auto"/>
          <w:kern w:val="0"/>
          <w:sz w:val="32"/>
          <w:szCs w:val="32"/>
          <w:lang w:val="en-US" w:eastAsia="zh-CN"/>
        </w:rPr>
        <w:t xml:space="preserve"> </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 xml:space="preserve">当今，海南作为中国对外开放的新高地，随着《海南自由贸易港建设总体方案》的不断落实，海南自贸港正成为全球重要的资本、技术、人才等要素加速汇集之地。本次 CEO会议的成功举办，无疑为全球资本、技术、人才等要素跨区域交流合作打开了一扇窗，既促进了海南自贸港对外开放，又提高了海南自贸港的影响力、知名度和美誉度，无形中加速了这些要素向自贸港汇集。 </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 xml:space="preserve">此次CEO会议有11家世界500强企业和多家中国500强企业参展，并充分展示在海南合作投资的相关项目及投资计划，为更多的世界名企落户海南省、投资海南省，起到重要的带动作用。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4、项目的可持续性分析</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贯彻落实省委、省政府关于</w:t>
      </w:r>
      <w:r>
        <w:rPr>
          <w:rFonts w:hint="eastAsia" w:ascii="仿宋" w:hAnsi="仿宋" w:eastAsia="仿宋" w:cs="仿宋"/>
          <w:color w:val="auto"/>
          <w:sz w:val="32"/>
          <w:szCs w:val="32"/>
          <w:lang w:val="en-US" w:eastAsia="zh-CN"/>
        </w:rPr>
        <w:t>全面</w:t>
      </w:r>
      <w:r>
        <w:rPr>
          <w:rFonts w:hint="eastAsia" w:ascii="仿宋" w:hAnsi="仿宋" w:eastAsia="仿宋" w:cs="仿宋"/>
          <w:color w:val="auto"/>
          <w:sz w:val="32"/>
          <w:szCs w:val="32"/>
        </w:rPr>
        <w:t>发展</w:t>
      </w:r>
      <w:r>
        <w:rPr>
          <w:rFonts w:hint="eastAsia" w:ascii="仿宋" w:hAnsi="仿宋" w:eastAsia="仿宋" w:cs="仿宋"/>
          <w:b w:val="0"/>
          <w:bCs/>
          <w:color w:val="auto"/>
          <w:sz w:val="32"/>
          <w:szCs w:val="32"/>
          <w:lang w:val="en-US" w:eastAsia="zh-CN"/>
        </w:rPr>
        <w:t>清洁能源岛建设</w:t>
      </w:r>
      <w:r>
        <w:rPr>
          <w:rFonts w:hint="eastAsia" w:ascii="仿宋" w:hAnsi="仿宋" w:eastAsia="仿宋" w:cs="仿宋"/>
          <w:b w:val="0"/>
          <w:bCs/>
          <w:color w:val="auto"/>
          <w:sz w:val="32"/>
          <w:szCs w:val="32"/>
        </w:rPr>
        <w:t>的战略部署，</w:t>
      </w:r>
      <w:r>
        <w:rPr>
          <w:rFonts w:hint="eastAsia" w:ascii="仿宋" w:hAnsi="仿宋" w:eastAsia="仿宋" w:cs="仿宋"/>
          <w:i w:val="0"/>
          <w:iCs w:val="0"/>
          <w:caps w:val="0"/>
          <w:color w:val="auto"/>
          <w:spacing w:val="0"/>
          <w:sz w:val="32"/>
          <w:szCs w:val="32"/>
          <w:shd w:val="clear" w:color="auto" w:fill="FFFFFF"/>
        </w:rPr>
        <w:t>充分发挥海南丰富的清洁能源优势，大幅提高清洁能源比重，加速能源结构清洁化转型，加快构建安全、绿色、集约、高效的清洁能源供应体系。全面推动清洁能源岛建设，研究开展碳达峰、碳中和的能源实施路线，力争我省在2025年前实现碳达峰、2050年前实现碳中和。</w:t>
      </w:r>
    </w:p>
    <w:p>
      <w:pPr>
        <w:tabs>
          <w:tab w:val="center" w:pos="4473"/>
        </w:tabs>
        <w:spacing w:line="66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 xml:space="preserve">   （二）项目绩效目标未完成原因分析</w:t>
      </w:r>
    </w:p>
    <w:p>
      <w:pPr>
        <w:spacing w:line="500" w:lineRule="atLeas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预算绩效目标都已完成。</w:t>
      </w:r>
    </w:p>
    <w:p>
      <w:pPr>
        <w:numPr>
          <w:ilvl w:val="0"/>
          <w:numId w:val="2"/>
        </w:numPr>
        <w:spacing w:line="500" w:lineRule="atLeast"/>
        <w:ind w:firstLine="629" w:firstLineChars="196"/>
        <w:rPr>
          <w:rFonts w:hint="eastAsia" w:ascii="仿宋" w:hAnsi="仿宋" w:eastAsia="仿宋" w:cs="仿宋"/>
          <w:b/>
          <w:bCs/>
          <w:color w:val="auto"/>
          <w:sz w:val="32"/>
          <w:szCs w:val="32"/>
        </w:rPr>
      </w:pPr>
      <w:r>
        <w:rPr>
          <w:rFonts w:hint="eastAsia" w:ascii="仿宋" w:hAnsi="仿宋" w:eastAsia="仿宋" w:cs="仿宋"/>
          <w:b/>
          <w:bCs/>
          <w:color w:val="auto"/>
          <w:sz w:val="32"/>
          <w:szCs w:val="32"/>
        </w:rPr>
        <w:t>综合评价情况及评价结论</w:t>
      </w:r>
    </w:p>
    <w:p>
      <w:pPr>
        <w:ind w:firstLine="631"/>
        <w:jc w:val="left"/>
        <w:rPr>
          <w:rFonts w:hint="eastAsia" w:ascii="仿宋" w:hAnsi="仿宋" w:eastAsia="仿宋" w:cs="仿宋"/>
          <w:color w:val="auto"/>
          <w:kern w:val="0"/>
          <w:sz w:val="32"/>
          <w:szCs w:val="32"/>
          <w:lang w:val="en-US" w:eastAsia="zh-CN"/>
        </w:rPr>
      </w:pPr>
      <w:r>
        <w:rPr>
          <w:rFonts w:hint="eastAsia" w:ascii="仿宋" w:hAnsi="仿宋" w:eastAsia="仿宋" w:cs="仿宋"/>
          <w:color w:val="auto"/>
          <w:sz w:val="32"/>
          <w:szCs w:val="32"/>
        </w:rPr>
        <w:t>根据</w:t>
      </w:r>
      <w:r>
        <w:rPr>
          <w:rFonts w:hint="eastAsia" w:ascii="仿宋" w:hAnsi="仿宋" w:eastAsia="仿宋" w:cs="仿宋"/>
          <w:color w:val="auto"/>
          <w:sz w:val="32"/>
          <w:szCs w:val="32"/>
          <w:lang w:val="en-US" w:eastAsia="zh-CN"/>
        </w:rPr>
        <w:t>2022亚太电协CEO会议</w:t>
      </w:r>
      <w:r>
        <w:rPr>
          <w:rFonts w:hint="eastAsia" w:ascii="仿宋" w:hAnsi="仿宋" w:eastAsia="仿宋" w:cs="仿宋"/>
          <w:color w:val="auto"/>
          <w:sz w:val="32"/>
          <w:szCs w:val="32"/>
        </w:rPr>
        <w:t>的方案及预期目标，我</w:t>
      </w:r>
      <w:r>
        <w:rPr>
          <w:rFonts w:hint="eastAsia" w:ascii="仿宋" w:hAnsi="仿宋" w:eastAsia="仿宋" w:cs="仿宋"/>
          <w:color w:val="auto"/>
          <w:sz w:val="32"/>
          <w:szCs w:val="32"/>
          <w:lang w:val="en-US" w:eastAsia="zh-CN"/>
        </w:rPr>
        <w:t>司全方位做好了疫情防控管理方案，</w:t>
      </w:r>
      <w:r>
        <w:rPr>
          <w:rFonts w:hint="eastAsia" w:ascii="仿宋" w:hAnsi="仿宋" w:eastAsia="仿宋" w:cs="仿宋"/>
          <w:color w:val="auto"/>
          <w:sz w:val="32"/>
          <w:szCs w:val="32"/>
        </w:rPr>
        <w:t>积极</w:t>
      </w:r>
      <w:r>
        <w:rPr>
          <w:rFonts w:hint="eastAsia" w:ascii="仿宋" w:hAnsi="仿宋" w:eastAsia="仿宋" w:cs="仿宋"/>
          <w:color w:val="auto"/>
          <w:sz w:val="32"/>
          <w:szCs w:val="32"/>
          <w:lang w:eastAsia="zh-CN"/>
        </w:rPr>
        <w:t>开展</w:t>
      </w:r>
      <w:r>
        <w:rPr>
          <w:rFonts w:hint="eastAsia" w:ascii="仿宋" w:hAnsi="仿宋" w:eastAsia="仿宋" w:cs="仿宋"/>
          <w:color w:val="auto"/>
          <w:sz w:val="32"/>
          <w:szCs w:val="32"/>
          <w:lang w:val="en-US" w:eastAsia="zh-CN"/>
        </w:rPr>
        <w:t>项目的各项筹备</w:t>
      </w:r>
      <w:r>
        <w:rPr>
          <w:rFonts w:hint="eastAsia" w:ascii="仿宋" w:hAnsi="仿宋" w:eastAsia="仿宋" w:cs="仿宋"/>
          <w:color w:val="auto"/>
          <w:sz w:val="32"/>
          <w:szCs w:val="32"/>
          <w:lang w:eastAsia="zh-CN"/>
        </w:rPr>
        <w:t>工作</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最终</w:t>
      </w:r>
      <w:r>
        <w:rPr>
          <w:rFonts w:hint="eastAsia" w:ascii="仿宋" w:hAnsi="仿宋" w:eastAsia="仿宋" w:cs="仿宋"/>
          <w:color w:val="auto"/>
          <w:sz w:val="32"/>
          <w:szCs w:val="32"/>
          <w:lang w:val="en-US" w:eastAsia="zh-CN"/>
        </w:rPr>
        <w:t>成功</w:t>
      </w:r>
      <w:r>
        <w:rPr>
          <w:rFonts w:hint="eastAsia" w:ascii="仿宋" w:hAnsi="仿宋" w:eastAsia="仿宋" w:cs="仿宋"/>
          <w:color w:val="auto"/>
          <w:kern w:val="0"/>
          <w:sz w:val="32"/>
          <w:szCs w:val="32"/>
          <w:lang w:val="en-US" w:eastAsia="zh-CN"/>
        </w:rPr>
        <w:t>围绕全球能源发展现状和趋势等国际话题圆满</w:t>
      </w:r>
      <w:r>
        <w:rPr>
          <w:rFonts w:hint="eastAsia" w:ascii="仿宋" w:hAnsi="仿宋" w:eastAsia="仿宋" w:cs="仿宋"/>
          <w:color w:val="auto"/>
          <w:sz w:val="32"/>
          <w:szCs w:val="32"/>
          <w:lang w:val="en-US" w:eastAsia="zh-CN"/>
        </w:rPr>
        <w:t>组织</w:t>
      </w:r>
      <w:r>
        <w:rPr>
          <w:rFonts w:hint="eastAsia" w:ascii="仿宋" w:hAnsi="仿宋" w:eastAsia="仿宋" w:cs="仿宋"/>
          <w:color w:val="auto"/>
          <w:kern w:val="0"/>
          <w:sz w:val="32"/>
          <w:szCs w:val="32"/>
          <w:lang w:val="en-US" w:eastAsia="zh-CN"/>
        </w:rPr>
        <w:t>主旨演讲13场、高端对话 1 场、主题展览1场，总计1200多人参会，其中高端嘉宾40多人（含副部级以上政府领导、两院院士、世界500强高管等），展览面积达12980平方米，其中吸引11 家世界 500 强企业参展。总计吸引国内外线上线下专业买家2600 余人，现场观众数量达 11600多人次，线上观众超 300 万人次。</w:t>
      </w:r>
    </w:p>
    <w:p>
      <w:pPr>
        <w:keepNext w:val="0"/>
        <w:keepLines w:val="0"/>
        <w:widowControl/>
        <w:suppressLineNumbers w:val="0"/>
        <w:ind w:firstLine="640" w:firstLineChars="200"/>
        <w:jc w:val="left"/>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活动的成功召开得到与会嘉宾、领导及观众的一致好评，且有效推动了海南省与亚太地区在能源领域强化产业合作。</w:t>
      </w:r>
    </w:p>
    <w:p>
      <w:pPr>
        <w:spacing w:line="500" w:lineRule="atLeast"/>
        <w:ind w:firstLine="642"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六、主要经验及做法、存在的问题和建议</w:t>
      </w:r>
    </w:p>
    <w:p>
      <w:pPr>
        <w:spacing w:line="500" w:lineRule="atLeast"/>
        <w:ind w:firstLine="627" w:firstLineChars="196"/>
        <w:rPr>
          <w:rFonts w:hint="eastAsia" w:ascii="仿宋" w:hAnsi="仿宋" w:eastAsia="仿宋" w:cs="仿宋"/>
          <w:color w:val="auto"/>
          <w:sz w:val="32"/>
          <w:szCs w:val="32"/>
        </w:rPr>
      </w:pPr>
      <w:r>
        <w:rPr>
          <w:rFonts w:hint="eastAsia" w:ascii="仿宋" w:hAnsi="仿宋" w:eastAsia="仿宋" w:cs="仿宋"/>
          <w:color w:val="auto"/>
          <w:sz w:val="32"/>
          <w:szCs w:val="32"/>
        </w:rPr>
        <w:t>（一）主要经验及做法</w:t>
      </w:r>
    </w:p>
    <w:p>
      <w:pPr>
        <w:spacing w:line="500" w:lineRule="atLeast"/>
        <w:ind w:firstLine="627" w:firstLineChars="196"/>
        <w:rPr>
          <w:rFonts w:hint="eastAsia" w:ascii="仿宋" w:hAnsi="仿宋" w:eastAsia="仿宋" w:cs="仿宋"/>
          <w:color w:val="auto"/>
          <w:sz w:val="32"/>
          <w:szCs w:val="32"/>
        </w:rPr>
      </w:pPr>
      <w:r>
        <w:rPr>
          <w:rFonts w:hint="eastAsia" w:ascii="仿宋" w:hAnsi="仿宋" w:eastAsia="仿宋" w:cs="仿宋"/>
          <w:b w:val="0"/>
          <w:bCs/>
          <w:color w:val="auto"/>
          <w:kern w:val="0"/>
          <w:sz w:val="32"/>
          <w:szCs w:val="32"/>
        </w:rPr>
        <w:t>1、</w:t>
      </w:r>
      <w:r>
        <w:rPr>
          <w:rFonts w:hint="eastAsia" w:ascii="仿宋" w:hAnsi="仿宋" w:eastAsia="仿宋" w:cs="仿宋"/>
          <w:b w:val="0"/>
          <w:bCs/>
          <w:color w:val="auto"/>
          <w:sz w:val="32"/>
          <w:szCs w:val="32"/>
        </w:rPr>
        <w:t>严格执行</w:t>
      </w:r>
      <w:r>
        <w:rPr>
          <w:rFonts w:hint="eastAsia" w:ascii="仿宋" w:hAnsi="仿宋" w:eastAsia="仿宋" w:cs="仿宋"/>
          <w:b w:val="0"/>
          <w:bCs/>
          <w:color w:val="auto"/>
          <w:sz w:val="32"/>
          <w:szCs w:val="32"/>
          <w:lang w:eastAsia="zh-CN"/>
        </w:rPr>
        <w:t>方案</w:t>
      </w:r>
      <w:r>
        <w:rPr>
          <w:rFonts w:hint="eastAsia" w:ascii="仿宋" w:hAnsi="仿宋" w:eastAsia="仿宋" w:cs="仿宋"/>
          <w:b w:val="0"/>
          <w:bCs/>
          <w:color w:val="auto"/>
          <w:sz w:val="32"/>
          <w:szCs w:val="32"/>
        </w:rPr>
        <w:t>，确保项目质量。</w:t>
      </w:r>
      <w:r>
        <w:rPr>
          <w:rFonts w:hint="eastAsia" w:ascii="仿宋" w:hAnsi="仿宋" w:eastAsia="仿宋" w:cs="仿宋"/>
          <w:color w:val="auto"/>
          <w:sz w:val="32"/>
          <w:szCs w:val="32"/>
        </w:rPr>
        <w:t>根据《</w:t>
      </w:r>
      <w:r>
        <w:rPr>
          <w:rFonts w:hint="eastAsia" w:ascii="仿宋" w:hAnsi="仿宋" w:eastAsia="仿宋" w:cs="仿宋"/>
          <w:color w:val="auto"/>
          <w:sz w:val="32"/>
          <w:szCs w:val="32"/>
          <w:lang w:val="en-US" w:eastAsia="zh-CN"/>
        </w:rPr>
        <w:t>2022亚太电协CEO会议总体</w:t>
      </w:r>
      <w:r>
        <w:rPr>
          <w:rFonts w:hint="eastAsia" w:ascii="仿宋" w:hAnsi="仿宋" w:eastAsia="仿宋" w:cs="仿宋"/>
          <w:color w:val="auto"/>
          <w:sz w:val="32"/>
          <w:szCs w:val="32"/>
        </w:rPr>
        <w:t>方案》</w:t>
      </w:r>
      <w:r>
        <w:rPr>
          <w:rFonts w:hint="eastAsia" w:ascii="仿宋" w:hAnsi="仿宋" w:eastAsia="仿宋" w:cs="仿宋"/>
          <w:bCs/>
          <w:color w:val="auto"/>
          <w:sz w:val="32"/>
          <w:szCs w:val="32"/>
        </w:rPr>
        <w:t>、</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2亚太电协CEO会议疫情防控方案</w:t>
      </w:r>
      <w:r>
        <w:rPr>
          <w:rFonts w:hint="eastAsia" w:ascii="仿宋" w:hAnsi="仿宋" w:eastAsia="仿宋" w:cs="仿宋"/>
          <w:color w:val="auto"/>
          <w:sz w:val="32"/>
          <w:szCs w:val="32"/>
        </w:rPr>
        <w:t>》有关</w:t>
      </w:r>
      <w:r>
        <w:rPr>
          <w:rFonts w:hint="eastAsia" w:ascii="仿宋" w:hAnsi="仿宋" w:eastAsia="仿宋" w:cs="仿宋"/>
          <w:color w:val="auto"/>
          <w:sz w:val="32"/>
          <w:szCs w:val="32"/>
          <w:lang w:eastAsia="zh-CN"/>
        </w:rPr>
        <w:t>条款</w:t>
      </w:r>
      <w:r>
        <w:rPr>
          <w:rFonts w:hint="eastAsia" w:ascii="仿宋" w:hAnsi="仿宋" w:eastAsia="仿宋" w:cs="仿宋"/>
          <w:color w:val="auto"/>
          <w:sz w:val="32"/>
          <w:szCs w:val="32"/>
        </w:rPr>
        <w:t>规定，提出工作要求，明确工作责任。</w:t>
      </w:r>
    </w:p>
    <w:p>
      <w:pPr>
        <w:spacing w:line="480" w:lineRule="atLeast"/>
        <w:ind w:firstLine="640" w:firstLineChars="200"/>
        <w:rPr>
          <w:rFonts w:hint="eastAsia" w:ascii="仿宋" w:hAnsi="仿宋" w:eastAsia="仿宋" w:cs="仿宋"/>
          <w:color w:val="auto"/>
          <w:sz w:val="32"/>
          <w:szCs w:val="32"/>
        </w:rPr>
      </w:pPr>
      <w:r>
        <w:rPr>
          <w:rFonts w:hint="eastAsia" w:ascii="仿宋" w:hAnsi="仿宋" w:eastAsia="仿宋" w:cs="仿宋"/>
          <w:b w:val="0"/>
          <w:bCs w:val="0"/>
          <w:color w:val="auto"/>
          <w:sz w:val="32"/>
          <w:szCs w:val="32"/>
        </w:rPr>
        <w:t>2、强化督促检查，保质保量完成建设任务。</w:t>
      </w:r>
      <w:r>
        <w:rPr>
          <w:rFonts w:hint="eastAsia" w:ascii="仿宋" w:hAnsi="仿宋" w:eastAsia="仿宋" w:cs="仿宋"/>
          <w:color w:val="auto"/>
          <w:sz w:val="32"/>
          <w:szCs w:val="32"/>
          <w:lang w:val="en-US" w:eastAsia="zh-CN"/>
        </w:rPr>
        <w:t>中国电力企业联合会</w:t>
      </w:r>
      <w:r>
        <w:rPr>
          <w:rFonts w:hint="eastAsia" w:ascii="仿宋" w:hAnsi="仿宋" w:eastAsia="仿宋" w:cs="仿宋"/>
          <w:color w:val="auto"/>
          <w:sz w:val="32"/>
          <w:szCs w:val="32"/>
        </w:rPr>
        <w:t>加强对</w:t>
      </w:r>
      <w:r>
        <w:rPr>
          <w:rFonts w:hint="eastAsia" w:ascii="仿宋" w:hAnsi="仿宋" w:eastAsia="仿宋" w:cs="仿宋"/>
          <w:color w:val="auto"/>
          <w:sz w:val="32"/>
          <w:szCs w:val="32"/>
          <w:lang w:val="en-US" w:eastAsia="zh-CN"/>
        </w:rPr>
        <w:t>2022亚太电协CEO会议</w:t>
      </w:r>
      <w:r>
        <w:rPr>
          <w:rFonts w:hint="eastAsia" w:ascii="仿宋" w:hAnsi="仿宋" w:eastAsia="仿宋" w:cs="仿宋"/>
          <w:color w:val="auto"/>
          <w:sz w:val="32"/>
          <w:szCs w:val="32"/>
        </w:rPr>
        <w:t>的督促检查，及时了解工作进展情况，积极</w:t>
      </w:r>
      <w:r>
        <w:rPr>
          <w:rFonts w:hint="eastAsia" w:ascii="仿宋" w:hAnsi="仿宋" w:eastAsia="仿宋" w:cs="仿宋"/>
          <w:color w:val="auto"/>
          <w:sz w:val="32"/>
          <w:szCs w:val="32"/>
          <w:lang w:eastAsia="zh-CN"/>
        </w:rPr>
        <w:t>帮助我</w:t>
      </w:r>
      <w:r>
        <w:rPr>
          <w:rFonts w:hint="eastAsia" w:ascii="仿宋" w:hAnsi="仿宋" w:eastAsia="仿宋" w:cs="仿宋"/>
          <w:color w:val="auto"/>
          <w:sz w:val="32"/>
          <w:szCs w:val="32"/>
          <w:lang w:val="en-US" w:eastAsia="zh-CN"/>
        </w:rPr>
        <w:t>司</w:t>
      </w:r>
      <w:r>
        <w:rPr>
          <w:rFonts w:hint="eastAsia" w:ascii="仿宋" w:hAnsi="仿宋" w:eastAsia="仿宋" w:cs="仿宋"/>
          <w:color w:val="auto"/>
          <w:sz w:val="32"/>
          <w:szCs w:val="32"/>
          <w:lang w:eastAsia="zh-CN"/>
        </w:rPr>
        <w:t>解决相关困难，并</w:t>
      </w:r>
      <w:r>
        <w:rPr>
          <w:rFonts w:hint="eastAsia" w:ascii="仿宋" w:hAnsi="仿宋" w:eastAsia="仿宋" w:cs="仿宋"/>
          <w:color w:val="auto"/>
          <w:sz w:val="32"/>
          <w:szCs w:val="32"/>
        </w:rPr>
        <w:t>加强对项目的监督工作。</w:t>
      </w:r>
    </w:p>
    <w:p>
      <w:pPr>
        <w:spacing w:line="480" w:lineRule="atLeast"/>
        <w:ind w:firstLine="648"/>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（二）存在问题</w:t>
      </w:r>
    </w:p>
    <w:p>
      <w:pPr>
        <w:spacing w:line="480" w:lineRule="atLeast"/>
        <w:ind w:firstLine="648"/>
        <w:rPr>
          <w:rFonts w:hint="eastAsia" w:ascii="仿宋_GB2312" w:hAnsi="仿宋_GB2312" w:eastAsia="仿宋_GB2312" w:cs="仿宋_GB2312"/>
          <w:color w:val="auto"/>
          <w:sz w:val="32"/>
          <w:szCs w:val="32"/>
        </w:rPr>
      </w:pPr>
      <w:r>
        <w:rPr>
          <w:rFonts w:hint="eastAsia" w:ascii="仿宋" w:hAnsi="仿宋" w:eastAsia="仿宋" w:cs="仿宋"/>
          <w:color w:val="auto"/>
          <w:sz w:val="32"/>
          <w:szCs w:val="32"/>
          <w:lang w:val="en-US" w:eastAsia="zh-CN"/>
        </w:rPr>
        <w:t>本届“亚太电协CEO会议”虽然得到了社会各界的</w:t>
      </w:r>
      <w:r>
        <w:rPr>
          <w:rFonts w:hint="eastAsia" w:ascii="仿宋" w:hAnsi="仿宋" w:eastAsia="仿宋" w:cs="仿宋"/>
          <w:color w:val="auto"/>
          <w:sz w:val="32"/>
          <w:szCs w:val="32"/>
        </w:rPr>
        <w:t>普遍好评，但仍存在</w:t>
      </w:r>
      <w:r>
        <w:rPr>
          <w:rFonts w:hint="eastAsia" w:ascii="仿宋" w:hAnsi="仿宋" w:eastAsia="仿宋" w:cs="仿宋"/>
          <w:color w:val="auto"/>
          <w:sz w:val="32"/>
          <w:szCs w:val="32"/>
          <w:lang w:val="en-US" w:eastAsia="zh-CN"/>
        </w:rPr>
        <w:t>一些</w:t>
      </w:r>
      <w:r>
        <w:rPr>
          <w:rFonts w:hint="eastAsia" w:ascii="仿宋" w:hAnsi="仿宋" w:eastAsia="仿宋" w:cs="仿宋"/>
          <w:color w:val="auto"/>
          <w:sz w:val="32"/>
          <w:szCs w:val="32"/>
        </w:rPr>
        <w:t>有亟待提高的地方:</w:t>
      </w:r>
      <w:r>
        <w:rPr>
          <w:rFonts w:hint="eastAsia" w:ascii="仿宋" w:hAnsi="仿宋" w:eastAsia="仿宋" w:cs="仿宋"/>
          <w:color w:val="auto"/>
          <w:sz w:val="32"/>
          <w:szCs w:val="32"/>
          <w:lang w:val="en-US" w:eastAsia="zh-CN"/>
        </w:rPr>
        <w:t>主要是</w:t>
      </w:r>
      <w:r>
        <w:rPr>
          <w:rFonts w:hint="eastAsia" w:ascii="仿宋" w:hAnsi="仿宋" w:eastAsia="仿宋" w:cs="仿宋"/>
          <w:color w:val="auto"/>
          <w:sz w:val="32"/>
          <w:szCs w:val="32"/>
        </w:rPr>
        <w:t>今年受新</w:t>
      </w:r>
      <w:bookmarkStart w:id="0" w:name="_GoBack"/>
      <w:bookmarkEnd w:id="0"/>
      <w:r>
        <w:rPr>
          <w:rFonts w:hint="eastAsia" w:ascii="仿宋" w:hAnsi="仿宋" w:eastAsia="仿宋" w:cs="仿宋"/>
          <w:color w:val="auto"/>
          <w:sz w:val="32"/>
          <w:szCs w:val="32"/>
        </w:rPr>
        <w:t>冠肺炎疫情影响，参展</w:t>
      </w:r>
      <w:r>
        <w:rPr>
          <w:rFonts w:hint="eastAsia" w:ascii="仿宋" w:hAnsi="仿宋" w:eastAsia="仿宋" w:cs="仿宋"/>
          <w:color w:val="auto"/>
          <w:sz w:val="32"/>
          <w:szCs w:val="32"/>
          <w:lang w:eastAsia="zh-CN"/>
        </w:rPr>
        <w:t>的</w:t>
      </w:r>
      <w:r>
        <w:rPr>
          <w:rFonts w:hint="eastAsia" w:ascii="仿宋" w:hAnsi="仿宋" w:eastAsia="仿宋" w:cs="仿宋"/>
          <w:color w:val="auto"/>
          <w:sz w:val="32"/>
          <w:szCs w:val="32"/>
        </w:rPr>
        <w:t>企业</w:t>
      </w:r>
      <w:r>
        <w:rPr>
          <w:rFonts w:hint="eastAsia" w:ascii="仿宋" w:hAnsi="仿宋" w:eastAsia="仿宋" w:cs="仿宋"/>
          <w:color w:val="auto"/>
          <w:sz w:val="32"/>
          <w:szCs w:val="32"/>
          <w:lang w:eastAsia="zh-CN"/>
        </w:rPr>
        <w:t>没有预期多，</w:t>
      </w:r>
      <w:r>
        <w:rPr>
          <w:rFonts w:hint="eastAsia" w:ascii="仿宋" w:hAnsi="仿宋" w:eastAsia="仿宋" w:cs="仿宋"/>
          <w:color w:val="auto"/>
          <w:sz w:val="32"/>
          <w:szCs w:val="32"/>
          <w:lang w:val="en-US" w:eastAsia="zh-CN"/>
        </w:rPr>
        <w:t>参展企业数量</w:t>
      </w:r>
      <w:r>
        <w:rPr>
          <w:rFonts w:hint="eastAsia" w:ascii="仿宋" w:hAnsi="仿宋" w:eastAsia="仿宋" w:cs="仿宋"/>
          <w:color w:val="auto"/>
          <w:sz w:val="32"/>
          <w:szCs w:val="32"/>
        </w:rPr>
        <w:t>需要进一步提升。</w:t>
      </w:r>
      <w:r>
        <w:rPr>
          <w:rFonts w:hint="eastAsia" w:ascii="仿宋_GB2312" w:hAnsi="仿宋_GB2312" w:eastAsia="仿宋_GB2312" w:cs="仿宋_GB2312"/>
          <w:color w:val="auto"/>
          <w:sz w:val="32"/>
          <w:szCs w:val="32"/>
        </w:rPr>
        <w:t xml:space="preserve"> </w:t>
      </w:r>
    </w:p>
    <w:p>
      <w:pPr>
        <w:spacing w:line="480" w:lineRule="atLeast"/>
        <w:ind w:firstLine="648"/>
        <w:rPr>
          <w:rFonts w:hint="eastAsia" w:ascii="仿宋" w:hAnsi="仿宋" w:eastAsia="仿宋" w:cs="仿宋"/>
          <w:color w:val="auto"/>
          <w:sz w:val="32"/>
          <w:szCs w:val="32"/>
        </w:rPr>
      </w:pPr>
      <w:r>
        <w:rPr>
          <w:rFonts w:hint="eastAsia" w:ascii="仿宋" w:hAnsi="仿宋" w:eastAsia="仿宋" w:cs="仿宋"/>
          <w:color w:val="auto"/>
          <w:sz w:val="32"/>
          <w:szCs w:val="32"/>
        </w:rPr>
        <w:t>（三）建议</w:t>
      </w:r>
    </w:p>
    <w:p>
      <w:pPr>
        <w:keepNext w:val="0"/>
        <w:keepLines w:val="0"/>
        <w:widowControl/>
        <w:suppressLineNumbers w:val="0"/>
        <w:ind w:firstLine="640" w:firstLineChars="200"/>
        <w:jc w:val="left"/>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1.充分做好本次活动的评估及总结，下一届将通过本次活动的影响力，进一步整合国内外行业内各相关协会、行业联盟资源。</w:t>
      </w:r>
    </w:p>
    <w:p>
      <w:pPr>
        <w:keepNext w:val="0"/>
        <w:keepLines w:val="0"/>
        <w:widowControl/>
        <w:suppressLineNumbers w:val="0"/>
        <w:ind w:firstLine="640" w:firstLineChars="200"/>
        <w:jc w:val="left"/>
        <w:rPr>
          <w:rFonts w:hint="eastAsia" w:ascii="仿宋" w:hAnsi="仿宋" w:eastAsia="仿宋" w:cs="仿宋"/>
          <w:color w:val="auto"/>
          <w:spacing w:val="2"/>
          <w:sz w:val="32"/>
          <w:szCs w:val="32"/>
        </w:rPr>
      </w:pPr>
      <w:r>
        <w:rPr>
          <w:rFonts w:hint="eastAsia" w:ascii="仿宋" w:hAnsi="仿宋" w:eastAsia="仿宋" w:cs="仿宋"/>
          <w:color w:val="auto"/>
          <w:kern w:val="0"/>
          <w:sz w:val="32"/>
          <w:szCs w:val="32"/>
          <w:lang w:val="en-US" w:eastAsia="zh-CN"/>
        </w:rPr>
        <w:t>2.进一步做好全球能源关注热点话题探讨方向，增加高端对话至20 场，会期时间增加到 3 天。展览方面应多渠道拓宽参展企业数量，同时增设新技术、新产品全球推介会，让亚太电协活动成为全球电力能源行业数一数二的国际大会。</w:t>
      </w:r>
    </w:p>
    <w:p>
      <w:pPr>
        <w:spacing w:line="480" w:lineRule="atLeast"/>
        <w:ind w:firstLine="650" w:firstLineChars="200"/>
        <w:rPr>
          <w:rFonts w:hint="eastAsia" w:ascii="仿宋" w:hAnsi="仿宋" w:eastAsia="仿宋" w:cs="仿宋"/>
          <w:b/>
          <w:bCs/>
          <w:color w:val="auto"/>
          <w:spacing w:val="2"/>
          <w:sz w:val="32"/>
          <w:szCs w:val="32"/>
        </w:rPr>
      </w:pPr>
      <w:r>
        <w:rPr>
          <w:rFonts w:hint="eastAsia" w:ascii="仿宋" w:hAnsi="仿宋" w:eastAsia="仿宋" w:cs="仿宋"/>
          <w:b/>
          <w:bCs/>
          <w:color w:val="auto"/>
          <w:spacing w:val="2"/>
          <w:sz w:val="32"/>
          <w:szCs w:val="32"/>
        </w:rPr>
        <w:t>七、其他需要说明的问题</w:t>
      </w:r>
    </w:p>
    <w:p>
      <w:pPr>
        <w:spacing w:line="660" w:lineRule="exact"/>
        <w:ind w:firstLine="648" w:firstLineChars="200"/>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无</w:t>
      </w:r>
    </w:p>
    <w:p>
      <w:pPr>
        <w:rPr>
          <w:rFonts w:hint="eastAsia" w:ascii="仿宋" w:hAnsi="仿宋" w:eastAsia="仿宋" w:cs="仿宋"/>
          <w:color w:val="auto"/>
          <w:sz w:val="32"/>
          <w:szCs w:val="32"/>
        </w:rPr>
      </w:pPr>
    </w:p>
    <w:sectPr>
      <w:footerReference r:id="rId3" w:type="default"/>
      <w:footerReference r:id="rId4" w:type="even"/>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Courier 10 Pitch">
    <w:panose1 w:val="00000000000000000000"/>
    <w:charset w:val="00"/>
    <w:family w:val="auto"/>
    <w:pitch w:val="default"/>
    <w:sig w:usb0="00000000" w:usb1="00000000" w:usb2="00000000" w:usb3="00000000" w:csb0="00000000" w:csb1="00000000"/>
  </w:font>
  <w:font w:name="仿宋">
    <w:altName w:val="方正仿宋_GBK"/>
    <w:panose1 w:val="020106090600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新魏">
    <w:panose1 w:val="02010800040101010101"/>
    <w:charset w:val="86"/>
    <w:family w:val="auto"/>
    <w:pitch w:val="default"/>
    <w:sig w:usb0="00000001" w:usb1="080F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Bitstream Charter">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Fonts w:hint="eastAsia" w:ascii="宋体" w:hAnsi="宋体"/>
        <w:sz w:val="28"/>
        <w:szCs w:val="28"/>
      </w:rPr>
    </w:pPr>
    <w:r>
      <w:rPr>
        <w:rStyle w:val="7"/>
        <w:rFonts w:hint="eastAsia" w:ascii="宋体" w:hAnsi="宋体"/>
        <w:sz w:val="28"/>
        <w:szCs w:val="28"/>
      </w:rPr>
      <w:t>—</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5</w:t>
    </w:r>
    <w:r>
      <w:rPr>
        <w:rFonts w:ascii="宋体" w:hAnsi="宋体"/>
        <w:sz w:val="28"/>
        <w:szCs w:val="28"/>
      </w:rPr>
      <w:fldChar w:fldCharType="end"/>
    </w:r>
    <w:r>
      <w:rPr>
        <w:rStyle w:val="7"/>
        <w:rFonts w:hint="eastAsia" w:ascii="宋体" w:hAnsi="宋体"/>
        <w:sz w:val="28"/>
        <w:szCs w:val="28"/>
      </w:rPr>
      <w:t>—</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fldChar w:fldCharType="begin"/>
    </w:r>
    <w:r>
      <w:rPr>
        <w:rStyle w:val="7"/>
      </w:rPr>
      <w:instrText xml:space="preserve">PAGE  </w:instrText>
    </w:r>
    <w:r>
      <w:fldChar w:fldCharType="separate"/>
    </w:r>
    <w:r>
      <w:rPr>
        <w:rStyle w:val="7"/>
      </w:rPr>
      <w:t>6</w:t>
    </w:r>
    <w: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decimal"/>
      <w:suff w:val="nothing"/>
      <w:lvlText w:val="%1、"/>
      <w:lvlJc w:val="left"/>
    </w:lvl>
  </w:abstractNum>
  <w:abstractNum w:abstractNumId="1">
    <w:nsid w:val="00000001"/>
    <w:multiLevelType w:val="singleLevel"/>
    <w:tmpl w:val="00000001"/>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F657FD"/>
    <w:rsid w:val="5FAF11CF"/>
    <w:rsid w:val="CE120051"/>
    <w:rsid w:val="D5A7D8D4"/>
    <w:rsid w:val="EDB6AFC7"/>
    <w:rsid w:val="F5ED20B8"/>
    <w:rsid w:val="FF6BFD94"/>
    <w:rsid w:val="FFFF9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link w:val="6"/>
    <w:qFormat/>
    <w:uiPriority w:val="0"/>
    <w:rPr>
      <w:rFonts w:eastAsia="宋体"/>
      <w:sz w:val="21"/>
      <w:szCs w:val="20"/>
    </w:rPr>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toc 2"/>
    <w:basedOn w:val="1"/>
    <w:next w:val="1"/>
    <w:qFormat/>
    <w:uiPriority w:val="0"/>
    <w:pPr>
      <w:ind w:left="420" w:leftChars="200"/>
    </w:pPr>
  </w:style>
  <w:style w:type="paragraph" w:customStyle="1" w:styleId="6">
    <w:name w:val="Char Char Char Char Char Char Char Char Char Char Char Char Char Char Char Char"/>
    <w:basedOn w:val="1"/>
    <w:link w:val="5"/>
    <w:qFormat/>
    <w:uiPriority w:val="0"/>
    <w:pPr>
      <w:widowControl/>
      <w:spacing w:after="160" w:line="240" w:lineRule="exact"/>
      <w:jc w:val="left"/>
    </w:pPr>
    <w:rPr>
      <w:rFonts w:eastAsia="宋体"/>
      <w:sz w:val="21"/>
      <w:szCs w:val="20"/>
    </w:rPr>
  </w:style>
  <w:style w:type="character" w:styleId="7">
    <w:name w:val="page number"/>
    <w:basedOn w:val="5"/>
    <w:qFormat/>
    <w:uiPriority w:val="0"/>
  </w:style>
  <w:style w:type="paragraph" w:customStyle="1" w:styleId="8">
    <w:name w:val="p0"/>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3196</Words>
  <Characters>3431</Characters>
  <Paragraphs>77</Paragraphs>
  <TotalTime>32</TotalTime>
  <ScaleCrop>false</ScaleCrop>
  <LinksUpToDate>false</LinksUpToDate>
  <CharactersWithSpaces>3567</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2023-04-25T22:30:00Z</dcterms:created>
  <dc:creator>tina</dc:creator>
  <cp:lastModifiedBy>uos</cp:lastModifiedBy>
  <cp:lastPrinted>2024-05-06T16:25:05Z</cp:lastPrinted>
  <dcterms:modified xsi:type="dcterms:W3CDTF">2024-05-06T16:52:08Z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E81C55F1FD854075B73229B19F47A1EC_13</vt:lpwstr>
  </property>
</Properties>
</file>