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adjustRightInd w:val="0"/>
        <w:snapToGrid w:val="0"/>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2022国际潮团总会第21届国际潮团联谊年会</w:t>
      </w:r>
      <w:r>
        <w:rPr>
          <w:rFonts w:hint="eastAsia" w:ascii="方正小标宋简体" w:hAnsi="方正小标宋简体" w:eastAsia="方正小标宋简体" w:cs="方正小标宋简体"/>
          <w:b w:val="0"/>
          <w:bCs/>
          <w:sz w:val="44"/>
          <w:szCs w:val="44"/>
          <w:lang w:eastAsia="zh-CN"/>
        </w:rPr>
        <w:t>项目支出绩效自评报告</w:t>
      </w:r>
    </w:p>
    <w:p>
      <w:pPr>
        <w:wordWrap/>
        <w:adjustRightInd w:val="0"/>
        <w:snapToGrid w:val="0"/>
        <w:spacing w:line="560" w:lineRule="exact"/>
        <w:ind w:firstLine="640" w:firstLineChars="200"/>
        <w:textAlignment w:val="auto"/>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一、项目概况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（一）</w:t>
      </w:r>
      <w:r>
        <w:rPr>
          <w:rFonts w:hint="eastAsia" w:ascii="楷体" w:hAnsi="楷体" w:eastAsia="楷体" w:cs="楷体"/>
          <w:sz w:val="32"/>
          <w:szCs w:val="32"/>
          <w:lang w:eastAsia="zh-CN"/>
        </w:rPr>
        <w:t>项目</w:t>
      </w:r>
      <w:r>
        <w:rPr>
          <w:rFonts w:hint="eastAsia" w:ascii="楷体" w:hAnsi="楷体" w:eastAsia="楷体" w:cs="楷体"/>
          <w:sz w:val="32"/>
          <w:szCs w:val="32"/>
        </w:rPr>
        <w:t>基本</w:t>
      </w:r>
      <w:r>
        <w:rPr>
          <w:rFonts w:hint="eastAsia" w:ascii="楷体" w:hAnsi="楷体" w:eastAsia="楷体" w:cs="楷体"/>
          <w:sz w:val="32"/>
          <w:szCs w:val="32"/>
          <w:lang w:eastAsia="zh-CN"/>
        </w:rPr>
        <w:t>情况</w:t>
      </w:r>
      <w:r>
        <w:rPr>
          <w:rFonts w:hint="eastAsia" w:ascii="楷体" w:hAnsi="楷体" w:eastAsia="楷体" w:cs="楷体"/>
          <w:sz w:val="32"/>
          <w:szCs w:val="32"/>
        </w:rPr>
        <w:t>和主要内容</w:t>
      </w:r>
    </w:p>
    <w:p>
      <w:pPr>
        <w:keepNext w:val="0"/>
        <w:keepLines w:val="0"/>
        <w:pageBreakBefore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海南省人民政府作为指导单位、海南省潮商经济促进会主办，海南省潮汕商会、三亚市潮汕商会、海南省汕尾商会、乐东黎族自治县潮商经济促进会、海南省潮汕青年文化交流协会、东方市潮汕经济文化交流联合会、琼中潮汕商会等潮属商会协办，中共海南省委宣传部、中共海南省委统一战线工作部、中共海南省委外事工作委员会办公室、海南省旅游和文化广电体育厅、海南省商务厅、海南省卫生健康委员会、海南省公安厅、海南省归国华侨联合会、中国国际贸易促进委员会海南省委员会、海南国际经济发展局作为支持单位的国际潮团总会第二十一届国际潮团联谊年会（下称“年会”）于2022年12月3日-5日在海南博鳌亚洲论坛国际会议中心举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本届年会为首次引进的在我省举办的高端国际会议，以“海南潮·家国情——共享自贸港新机遇”为主题，主要活动有开幕式、项目签约、一带一路经济论坛、闭幕式等，线下参会人数约600人，来自中国、新西兰、马来西亚、新加坡、柬埔寨、美国、澳洲、印尼、荷兰、阿联酋等35个国家和地区，共有线上87个，线下32个会员单位共超过6802名嘉宾出席年会。第十三届全国政协副主席梁振英、第十届、第十一届全国政协副主席张梅颖、省委副书记、省长冯飞视频出席年会开幕式并致辞，省委常委、统战部部长、省政协党组副书记苗延红线下出席开幕式、一带一路经济论坛并致辞。</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lang w:val="en-US" w:eastAsia="zh-CN"/>
        </w:rPr>
        <w:t>年会直播平台线上观看人数约15.3万人，潮团微信直播观看人数超过2万，图片直播浏览量超12万、点赞量超5万，微博话题浏览量1.1亿次。年会新闻翻译成英文、俄文、法文、葡文、西班牙文、哈萨克文、阿拉伯文、马来文、日文、韩文、意大利文、希腊文、德文、斯瓦西里文、泰文等15门外语在人民网海外渠道投放，预计可覆盖超过6000万华人华侨。年会</w:t>
      </w:r>
      <w:r>
        <w:rPr>
          <w:rFonts w:hint="eastAsia" w:ascii="仿宋_GB2312" w:hAnsi="仿宋_GB2312" w:eastAsia="仿宋_GB2312" w:cs="仿宋_GB2312"/>
          <w:kern w:val="0"/>
          <w:sz w:val="32"/>
          <w:szCs w:val="32"/>
          <w:lang w:eastAsia="zh-CN"/>
        </w:rPr>
        <w:t>资金</w:t>
      </w:r>
      <w:r>
        <w:rPr>
          <w:rFonts w:hint="eastAsia" w:ascii="仿宋_GB2312" w:hAnsi="仿宋_GB2312" w:eastAsia="仿宋_GB2312" w:cs="仿宋_GB2312"/>
          <w:kern w:val="0"/>
          <w:sz w:val="32"/>
          <w:szCs w:val="32"/>
          <w:lang w:val="en-US" w:eastAsia="zh-CN"/>
        </w:rPr>
        <w:t>共约</w:t>
      </w:r>
      <w:r>
        <w:rPr>
          <w:rFonts w:hint="eastAsia" w:ascii="仿宋_GB2312" w:hAnsi="仿宋_GB2312" w:eastAsia="仿宋_GB2312" w:cs="仿宋_GB2312"/>
          <w:sz w:val="32"/>
          <w:szCs w:val="32"/>
          <w:lang w:val="en-US" w:eastAsia="zh-CN"/>
        </w:rPr>
        <w:t>1004.73</w:t>
      </w:r>
      <w:r>
        <w:rPr>
          <w:rFonts w:hint="eastAsia" w:ascii="仿宋_GB2312" w:hAnsi="仿宋_GB2312" w:eastAsia="仿宋_GB2312" w:cs="仿宋_GB2312"/>
          <w:kern w:val="0"/>
          <w:sz w:val="32"/>
          <w:szCs w:val="32"/>
          <w:lang w:val="en-US" w:eastAsia="zh-CN"/>
        </w:rPr>
        <w:t>万元</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hint="eastAsia" w:ascii="楷体" w:hAnsi="楷体" w:eastAsia="楷体" w:cs="楷体"/>
          <w:sz w:val="32"/>
          <w:szCs w:val="32"/>
          <w:lang w:eastAsia="zh-CN"/>
        </w:rPr>
        <w:t>项目年度预算绩效目标和绩效指标设定情况</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总体目标：</w:t>
      </w:r>
      <w:r>
        <w:rPr>
          <w:rFonts w:hint="eastAsia" w:ascii="仿宋_GB2312" w:hAnsi="仿宋_GB2312" w:eastAsia="仿宋_GB2312" w:cs="仿宋_GB2312"/>
          <w:sz w:val="32"/>
          <w:szCs w:val="32"/>
        </w:rPr>
        <w:t>以习近平新时代中国特色社会主义思想和“新时期打好‘侨’牌，要团结广大海外华侨共同实现中国梦”的重要指示为根本遵循，紧紧围绕二十大精神，按照“一本三基四梁八柱”战略框架的总体要求推动招商引资工作、扩展海外商务，凝心聚力，联合各地华侨共谋合作、共促发展，为海南自贸港建设添砖加瓦。</w:t>
      </w:r>
    </w:p>
    <w:p>
      <w:pPr>
        <w:pStyle w:val="3"/>
        <w:keepNext w:val="0"/>
        <w:keepLines w:val="0"/>
        <w:pageBreakBefore w:val="0"/>
        <w:kinsoku/>
        <w:wordWrap/>
        <w:overflowPunct/>
        <w:topLinePunct w:val="0"/>
        <w:autoSpaceDE/>
        <w:autoSpaceDN/>
        <w:bidi w:val="0"/>
        <w:spacing w:after="0"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sz w:val="32"/>
          <w:szCs w:val="32"/>
          <w:lang w:eastAsia="zh-CN"/>
        </w:rPr>
        <w:t>绩效目标：完成活动场次</w:t>
      </w:r>
      <w:r>
        <w:rPr>
          <w:rFonts w:hint="eastAsia" w:ascii="仿宋" w:hAnsi="仿宋" w:eastAsia="仿宋" w:cs="仿宋"/>
          <w:sz w:val="32"/>
          <w:szCs w:val="32"/>
          <w:lang w:val="en-US" w:eastAsia="zh-CN"/>
        </w:rPr>
        <w:t>25场；会议面积4000平方米；高端嘉宾8人；参会人数达到6000人次（含线上线下）；现场签项目达50亿元；</w:t>
      </w:r>
      <w:r>
        <w:rPr>
          <w:rFonts w:hint="eastAsia" w:ascii="仿宋_GB2312" w:hAnsi="仿宋_GB2312" w:eastAsia="仿宋_GB2312" w:cs="仿宋_GB2312"/>
          <w:color w:val="000000"/>
          <w:kern w:val="0"/>
          <w:sz w:val="32"/>
          <w:szCs w:val="32"/>
          <w:lang w:val="en-US" w:eastAsia="zh-CN"/>
        </w:rPr>
        <w:t>微博话题浏览量1.1亿次</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项目</w:t>
      </w:r>
      <w:r>
        <w:rPr>
          <w:rFonts w:hint="eastAsia" w:ascii="黑体" w:hAnsi="黑体" w:eastAsia="黑体" w:cs="黑体"/>
          <w:sz w:val="32"/>
          <w:szCs w:val="32"/>
        </w:rPr>
        <w:t>资金使用及管理情况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（一）资金到位情况分析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本届年会共计支出1004.73万元（其中：政府支持：3038358元，自筹资金：7008942）年会举办前资金到达率为100%。</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w:t>
      </w:r>
      <w:r>
        <w:rPr>
          <w:rFonts w:hint="eastAsia" w:ascii="楷体" w:hAnsi="楷体" w:eastAsia="楷体" w:cs="楷体"/>
          <w:sz w:val="32"/>
          <w:szCs w:val="32"/>
          <w:lang w:eastAsia="zh-CN"/>
        </w:rPr>
        <w:t>项目</w:t>
      </w:r>
      <w:r>
        <w:rPr>
          <w:rFonts w:hint="eastAsia" w:ascii="楷体" w:hAnsi="楷体" w:eastAsia="楷体" w:cs="楷体"/>
          <w:sz w:val="32"/>
          <w:szCs w:val="32"/>
        </w:rPr>
        <w:t>资金使用情况分析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截至年会结束，</w:t>
      </w:r>
      <w:r>
        <w:rPr>
          <w:rFonts w:hint="eastAsia" w:ascii="仿宋_GB2312" w:hAnsi="仿宋_GB2312" w:eastAsia="仿宋_GB2312" w:cs="仿宋_GB2312"/>
          <w:color w:val="auto"/>
          <w:sz w:val="32"/>
          <w:szCs w:val="32"/>
        </w:rPr>
        <w:t>项目资金已支出</w:t>
      </w:r>
      <w:r>
        <w:rPr>
          <w:rFonts w:hint="eastAsia" w:ascii="仿宋_GB2312" w:hAnsi="仿宋_GB2312" w:eastAsia="仿宋_GB2312" w:cs="仿宋_GB2312"/>
          <w:color w:val="auto"/>
          <w:sz w:val="32"/>
          <w:szCs w:val="32"/>
          <w:lang w:val="en-US" w:eastAsia="zh-CN"/>
        </w:rPr>
        <w:t>1004.73</w:t>
      </w:r>
      <w:r>
        <w:rPr>
          <w:rFonts w:hint="eastAsia" w:ascii="仿宋_GB2312" w:hAnsi="仿宋_GB2312" w:eastAsia="仿宋_GB2312" w:cs="仿宋_GB2312"/>
          <w:color w:val="auto"/>
          <w:sz w:val="32"/>
          <w:szCs w:val="32"/>
        </w:rPr>
        <w:t>万元，主要用于支付</w:t>
      </w:r>
      <w:r>
        <w:rPr>
          <w:rFonts w:hint="eastAsia" w:ascii="仿宋_GB2312" w:hAnsi="仿宋_GB2312" w:eastAsia="仿宋_GB2312" w:cs="仿宋_GB2312"/>
          <w:color w:val="auto"/>
          <w:sz w:val="32"/>
          <w:szCs w:val="32"/>
          <w:lang w:val="en-US" w:eastAsia="zh-CN"/>
        </w:rPr>
        <w:t>年会的</w:t>
      </w:r>
      <w:r>
        <w:rPr>
          <w:rFonts w:hint="eastAsia" w:ascii="仿宋_GB2312" w:hAnsi="仿宋_GB2312" w:eastAsia="仿宋_GB2312" w:cs="仿宋_GB2312"/>
          <w:color w:val="auto"/>
          <w:sz w:val="32"/>
          <w:szCs w:val="32"/>
          <w:lang w:val="en-US"/>
        </w:rPr>
        <w:t>全部</w:t>
      </w:r>
      <w:r>
        <w:rPr>
          <w:rFonts w:hint="eastAsia" w:ascii="仿宋_GB2312" w:hAnsi="仿宋_GB2312" w:eastAsia="仿宋_GB2312" w:cs="仿宋_GB2312"/>
          <w:color w:val="auto"/>
          <w:sz w:val="32"/>
          <w:szCs w:val="32"/>
        </w:rPr>
        <w:t>开支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其中宣传费用280万元，会场租赁费68.8万元，其余655.93万用于会场搭建、参会嘉宾住宿、餐饮、宣传物料制作及工作人员劳务费等。</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w:t>
      </w:r>
      <w:r>
        <w:rPr>
          <w:rFonts w:hint="eastAsia" w:ascii="楷体" w:hAnsi="楷体" w:eastAsia="楷体" w:cs="楷体"/>
          <w:sz w:val="32"/>
          <w:szCs w:val="32"/>
          <w:lang w:eastAsia="zh-CN"/>
        </w:rPr>
        <w:t>项目</w:t>
      </w:r>
      <w:r>
        <w:rPr>
          <w:rFonts w:hint="eastAsia" w:ascii="楷体" w:hAnsi="楷体" w:eastAsia="楷体" w:cs="楷体"/>
          <w:sz w:val="32"/>
          <w:szCs w:val="32"/>
        </w:rPr>
        <w:t>资金管理情况分析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经费严格</w:t>
      </w:r>
      <w:r>
        <w:rPr>
          <w:rFonts w:hint="eastAsia" w:ascii="仿宋_GB2312" w:hAnsi="仿宋_GB2312" w:eastAsia="仿宋_GB2312" w:cs="仿宋_GB2312"/>
          <w:color w:val="auto"/>
          <w:sz w:val="32"/>
          <w:szCs w:val="32"/>
          <w:lang w:val="en-US" w:eastAsia="zh-CN"/>
        </w:rPr>
        <w:t>在</w:t>
      </w:r>
      <w:r>
        <w:rPr>
          <w:rFonts w:hint="eastAsia" w:ascii="仿宋_GB2312" w:hAnsi="仿宋_GB2312" w:eastAsia="仿宋_GB2312" w:cs="仿宋_GB2312"/>
          <w:color w:val="auto"/>
          <w:sz w:val="32"/>
          <w:szCs w:val="32"/>
        </w:rPr>
        <w:t>预算支出范围使用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按照海南省财政厅通知精神</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在海南省潮商经济促进会会长、监事、理事等监督下</w:t>
      </w:r>
      <w:r>
        <w:rPr>
          <w:rFonts w:hint="eastAsia" w:ascii="仿宋_GB2312" w:hAnsi="仿宋_GB2312" w:eastAsia="仿宋_GB2312" w:cs="仿宋_GB2312"/>
          <w:color w:val="auto"/>
          <w:sz w:val="32"/>
          <w:szCs w:val="32"/>
        </w:rPr>
        <w:t>执行。</w:t>
      </w:r>
      <w:r>
        <w:rPr>
          <w:rFonts w:hint="eastAsia" w:ascii="仿宋_GB2312" w:hAnsi="仿宋_GB2312" w:eastAsia="仿宋_GB2312" w:cs="仿宋_GB2312"/>
          <w:color w:val="auto"/>
          <w:sz w:val="32"/>
          <w:szCs w:val="32"/>
          <w:lang w:eastAsia="zh-CN"/>
        </w:rPr>
        <w:t>具体由办公室提出用款申请，经财务负责人审核，会领导审批，经过层层把关，保证资金支付安全、合规、合法，保证资金专款专用，目前未发现违规使用资金现象</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项目</w:t>
      </w:r>
      <w:r>
        <w:rPr>
          <w:rFonts w:hint="eastAsia" w:ascii="黑体" w:hAnsi="黑体" w:eastAsia="黑体" w:cs="黑体"/>
          <w:sz w:val="32"/>
          <w:szCs w:val="32"/>
        </w:rPr>
        <w:t>组织实施情况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eastAsia="zh-CN"/>
        </w:rPr>
        <w:t>项目</w:t>
      </w:r>
      <w:r>
        <w:rPr>
          <w:rFonts w:hint="eastAsia" w:ascii="楷体" w:hAnsi="楷体" w:eastAsia="楷体" w:cs="楷体"/>
          <w:sz w:val="32"/>
          <w:szCs w:val="32"/>
        </w:rPr>
        <w:t>组织情况分析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国际潮团联谊年会是全球近6000万潮籍乡亲最有影响力的“侨”字号国际盛会和规模最大的涉侨交流联谊平台。本届年会在国际潮团史上首次采用线上线下同步参会、全球直播的办会方式，线上线下参会总人数创下国际潮团联谊年会参会人数历史之最。这是国际潮团联谊年会四十多年历史中最“难”的一届。然而，全球数千万潮籍人士，尤其是百万海南潮人，用“云端”+“线下”的创意、“黎苗”+“潮汕”的诗意、“平台”+“机遇”的诚意、“合作”+“共赢”的美意，交出了一份圆满的答卷。3天会议期间，全球近6000万潮人通过“云端”+“线下”齐聚博鳌，上演了一出“共谋自贸新机遇，共创发展新征程”的潮人盛举。海南岛上，万泉河畔，黎苗文化与潮汕风情交相辉映，潮商精神和自贸机遇互相碰撞，谱写出一曲“全球潮人助力海南自贸港建设”的华美乐章。</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w:t>
      </w:r>
      <w:r>
        <w:rPr>
          <w:rFonts w:hint="eastAsia" w:ascii="楷体" w:hAnsi="楷体" w:eastAsia="楷体" w:cs="楷体"/>
          <w:sz w:val="32"/>
          <w:szCs w:val="32"/>
          <w:lang w:eastAsia="zh-CN"/>
        </w:rPr>
        <w:t>项目</w:t>
      </w:r>
      <w:r>
        <w:rPr>
          <w:rFonts w:hint="eastAsia" w:ascii="楷体" w:hAnsi="楷体" w:eastAsia="楷体" w:cs="楷体"/>
          <w:sz w:val="32"/>
          <w:szCs w:val="32"/>
        </w:rPr>
        <w:t>管理情况分析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rPr>
      </w:pPr>
      <w:r>
        <w:rPr>
          <w:rFonts w:hint="eastAsia" w:ascii="仿宋_GB2312" w:hAnsi="仿宋_GB2312" w:eastAsia="仿宋_GB2312" w:cs="仿宋_GB2312"/>
          <w:bCs/>
          <w:sz w:val="32"/>
          <w:szCs w:val="32"/>
          <w:lang w:val="en-US" w:eastAsia="zh-CN"/>
        </w:rPr>
        <w:t>海南省潮商经济促进会</w:t>
      </w:r>
      <w:r>
        <w:rPr>
          <w:rFonts w:hint="eastAsia" w:ascii="仿宋_GB2312" w:hAnsi="仿宋_GB2312" w:eastAsia="仿宋_GB2312" w:cs="仿宋_GB2312"/>
          <w:bCs/>
          <w:sz w:val="32"/>
          <w:szCs w:val="32"/>
        </w:rPr>
        <w:t>在</w:t>
      </w:r>
      <w:r>
        <w:rPr>
          <w:rFonts w:hint="eastAsia" w:ascii="仿宋_GB2312" w:hAnsi="仿宋_GB2312" w:eastAsia="仿宋_GB2312" w:cs="仿宋_GB2312"/>
          <w:bCs/>
          <w:sz w:val="32"/>
          <w:szCs w:val="32"/>
          <w:lang w:val="en-US" w:eastAsia="zh-CN"/>
        </w:rPr>
        <w:t>年会</w:t>
      </w:r>
      <w:r>
        <w:rPr>
          <w:rFonts w:hint="eastAsia" w:ascii="仿宋_GB2312" w:hAnsi="仿宋_GB2312" w:eastAsia="仿宋_GB2312" w:cs="仿宋_GB2312"/>
          <w:bCs/>
          <w:sz w:val="32"/>
          <w:szCs w:val="32"/>
        </w:rPr>
        <w:t>执行过程中，严格遵守</w:t>
      </w:r>
      <w:r>
        <w:rPr>
          <w:rFonts w:hint="eastAsia" w:ascii="仿宋_GB2312" w:hAnsi="仿宋_GB2312" w:eastAsia="仿宋_GB2312" w:cs="仿宋_GB2312"/>
          <w:bCs/>
          <w:sz w:val="32"/>
          <w:szCs w:val="32"/>
          <w:lang w:eastAsia="zh-CN"/>
        </w:rPr>
        <w:t>相关法规</w:t>
      </w:r>
      <w:r>
        <w:rPr>
          <w:rFonts w:hint="eastAsia" w:ascii="仿宋_GB2312" w:hAnsi="仿宋_GB2312" w:eastAsia="仿宋_GB2312" w:cs="仿宋_GB2312"/>
          <w:bCs/>
          <w:sz w:val="32"/>
          <w:szCs w:val="32"/>
          <w:lang w:val="en-US" w:eastAsia="zh-CN"/>
        </w:rPr>
        <w:t>有关条款，在政府部门指导下，</w:t>
      </w:r>
      <w:r>
        <w:rPr>
          <w:rFonts w:hint="eastAsia" w:ascii="仿宋_GB2312" w:hAnsi="仿宋_GB2312" w:eastAsia="仿宋_GB2312" w:cs="仿宋_GB2312"/>
          <w:sz w:val="32"/>
          <w:szCs w:val="32"/>
        </w:rPr>
        <w:t>做到资金使用合规</w:t>
      </w:r>
      <w:r>
        <w:rPr>
          <w:rFonts w:hint="eastAsia" w:ascii="仿宋_GB2312" w:hAnsi="仿宋_GB2312" w:eastAsia="仿宋_GB2312" w:cs="仿宋_GB2312"/>
          <w:sz w:val="32"/>
          <w:szCs w:val="32"/>
          <w:lang w:eastAsia="zh-CN"/>
        </w:rPr>
        <w:t>，</w:t>
      </w:r>
      <w:r>
        <w:rPr>
          <w:rFonts w:hint="eastAsia" w:ascii="仿宋" w:hAnsi="仿宋" w:eastAsia="仿宋" w:cs="仿宋"/>
          <w:kern w:val="2"/>
          <w:sz w:val="32"/>
          <w:szCs w:val="32"/>
          <w:lang w:val="en-US" w:eastAsia="zh-CN" w:bidi="ar-SA"/>
        </w:rPr>
        <w:t>项目实施过程中，有专人负责，项目进行时有负责人及时跟踪项目实施情况，并及时提出意见和建议，项目支出均按照有关规章制度和项目实施完成情况进行支付并</w:t>
      </w:r>
      <w:r>
        <w:rPr>
          <w:rFonts w:hint="eastAsia" w:ascii="仿宋_GB2312" w:hAnsi="仿宋_GB2312" w:eastAsia="仿宋_GB2312" w:cs="仿宋_GB2312"/>
          <w:sz w:val="32"/>
          <w:szCs w:val="32"/>
        </w:rPr>
        <w:t>按时完成项目。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四、绩效情况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val="en-US" w:eastAsia="zh-CN"/>
        </w:rPr>
        <w:t>年会</w:t>
      </w:r>
      <w:r>
        <w:rPr>
          <w:rFonts w:hint="eastAsia" w:ascii="楷体" w:hAnsi="楷体" w:eastAsia="楷体" w:cs="楷体"/>
          <w:sz w:val="32"/>
          <w:szCs w:val="32"/>
        </w:rPr>
        <w:t>绩效目标完成情况分析</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经济性分析</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成本（预算）控制情况</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年会经费由海南省潮商经济促进会自筹,并负责年会所有费用支出计划，控制资金用途、成本等，所有支出项目费用均在预算计划内。</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成本（预算）节约情况</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年会</w:t>
      </w:r>
      <w:r>
        <w:rPr>
          <w:rFonts w:hint="eastAsia" w:ascii="仿宋_GB2312" w:hAnsi="仿宋_GB2312" w:eastAsia="仿宋_GB2312" w:cs="仿宋_GB2312"/>
          <w:sz w:val="32"/>
          <w:szCs w:val="32"/>
        </w:rPr>
        <w:t>按</w:t>
      </w:r>
      <w:r>
        <w:rPr>
          <w:rFonts w:hint="eastAsia" w:ascii="仿宋_GB2312" w:hAnsi="仿宋_GB2312" w:eastAsia="仿宋_GB2312" w:cs="仿宋_GB2312"/>
          <w:sz w:val="32"/>
          <w:szCs w:val="32"/>
          <w:lang w:val="en-US" w:eastAsia="zh-CN"/>
        </w:rPr>
        <w:t>年会方案、年会预算支出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金额都控制在预算数内。</w:t>
      </w:r>
    </w:p>
    <w:p>
      <w:pPr>
        <w:keepNext w:val="0"/>
        <w:keepLines w:val="0"/>
        <w:pageBreakBefore w:val="0"/>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效率性分析</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（1）项目的实施进度</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该项目2022年底实施进度达100%。</w:t>
      </w:r>
    </w:p>
    <w:p>
      <w:pPr>
        <w:pageBreakBefore w:val="0"/>
        <w:tabs>
          <w:tab w:val="center" w:pos="4473"/>
        </w:tabs>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rPr>
      </w:pPr>
      <w:r>
        <w:rPr>
          <w:rFonts w:hint="eastAsia" w:ascii="仿宋" w:hAnsi="仿宋" w:eastAsia="仿宋" w:cs="仿宋"/>
          <w:color w:val="auto"/>
          <w:sz w:val="32"/>
        </w:rPr>
        <w:t xml:space="preserve">    （2）项目的完成质量</w:t>
      </w:r>
    </w:p>
    <w:p>
      <w:pPr>
        <w:pageBreakBefore w:val="0"/>
        <w:tabs>
          <w:tab w:val="center" w:pos="4473"/>
        </w:tabs>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FF0000"/>
          <w:sz w:val="32"/>
        </w:rPr>
      </w:pPr>
      <w:r>
        <w:rPr>
          <w:rFonts w:hint="eastAsia" w:ascii="仿宋" w:hAnsi="仿宋" w:eastAsia="仿宋" w:cs="仿宋"/>
          <w:color w:val="FF0000"/>
          <w:sz w:val="32"/>
        </w:rPr>
        <w:t xml:space="preserve">    </w:t>
      </w:r>
      <w:r>
        <w:rPr>
          <w:rFonts w:hint="eastAsia" w:ascii="仿宋_GB2312" w:hAnsi="仿宋_GB2312" w:eastAsia="仿宋_GB2312" w:cs="仿宋_GB2312"/>
          <w:sz w:val="32"/>
          <w:szCs w:val="32"/>
          <w:lang w:val="en-US" w:eastAsia="zh-CN"/>
        </w:rPr>
        <w:t>年会</w:t>
      </w:r>
      <w:r>
        <w:rPr>
          <w:rFonts w:hint="eastAsia" w:ascii="仿宋" w:hAnsi="仿宋" w:eastAsia="仿宋" w:cs="仿宋"/>
          <w:sz w:val="32"/>
          <w:szCs w:val="32"/>
          <w:lang w:eastAsia="zh-CN"/>
        </w:rPr>
        <w:t>完成活动场次</w:t>
      </w:r>
      <w:r>
        <w:rPr>
          <w:rFonts w:hint="eastAsia" w:ascii="仿宋" w:hAnsi="仿宋" w:eastAsia="仿宋" w:cs="仿宋"/>
          <w:sz w:val="32"/>
          <w:szCs w:val="32"/>
          <w:lang w:val="en-US" w:eastAsia="zh-CN"/>
        </w:rPr>
        <w:t>25场；会议面积4000平方米；高端嘉宾8人；参会人数达到6000人次（含线上线下）；现场签项目达50亿元；</w:t>
      </w:r>
      <w:r>
        <w:rPr>
          <w:rFonts w:hint="eastAsia" w:ascii="仿宋_GB2312" w:hAnsi="仿宋_GB2312" w:eastAsia="仿宋_GB2312" w:cs="仿宋_GB2312"/>
          <w:color w:val="000000"/>
          <w:kern w:val="0"/>
          <w:sz w:val="32"/>
          <w:szCs w:val="32"/>
          <w:lang w:val="en-US" w:eastAsia="zh-CN"/>
        </w:rPr>
        <w:t>微博话题浏览量1.1亿次</w:t>
      </w:r>
      <w:r>
        <w:rPr>
          <w:rFonts w:hint="eastAsia" w:ascii="仿宋" w:hAnsi="仿宋" w:eastAsia="仿宋" w:cs="仿宋"/>
          <w:sz w:val="32"/>
          <w:szCs w:val="32"/>
          <w:lang w:val="en-US" w:eastAsia="zh-CN"/>
        </w:rPr>
        <w:t>。</w:t>
      </w:r>
    </w:p>
    <w:p>
      <w:pPr>
        <w:pageBreakBefore w:val="0"/>
        <w:numPr>
          <w:ilvl w:val="0"/>
          <w:numId w:val="1"/>
        </w:numPr>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项目的效益性分析</w:t>
      </w:r>
    </w:p>
    <w:p>
      <w:pPr>
        <w:pageBreakBefore w:val="0"/>
        <w:tabs>
          <w:tab w:val="center" w:pos="4473"/>
        </w:tabs>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auto"/>
          <w:sz w:val="32"/>
        </w:rPr>
      </w:pPr>
      <w:r>
        <w:rPr>
          <w:rFonts w:hint="eastAsia" w:ascii="仿宋" w:hAnsi="仿宋" w:eastAsia="仿宋" w:cs="仿宋"/>
          <w:color w:val="auto"/>
          <w:sz w:val="32"/>
        </w:rPr>
        <w:t xml:space="preserve">   （1）项目预期目标完成程度</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项目共设置</w:t>
      </w:r>
      <w:r>
        <w:rPr>
          <w:rFonts w:hint="eastAsia" w:ascii="仿宋" w:hAnsi="仿宋" w:eastAsia="仿宋" w:cs="仿宋"/>
          <w:color w:val="auto"/>
          <w:sz w:val="32"/>
          <w:lang w:eastAsia="zh-CN"/>
        </w:rPr>
        <w:t>六</w:t>
      </w:r>
      <w:r>
        <w:rPr>
          <w:rFonts w:hint="eastAsia" w:ascii="仿宋" w:hAnsi="仿宋" w:eastAsia="仿宋" w:cs="仿宋"/>
          <w:color w:val="auto"/>
          <w:sz w:val="32"/>
        </w:rPr>
        <w:t>个绩效指标，绩效目标全部以标准优完成。具体情况如下：</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lang w:eastAsia="zh-CN"/>
        </w:rPr>
        <w:t>产出</w:t>
      </w:r>
      <w:r>
        <w:rPr>
          <w:rFonts w:hint="eastAsia" w:ascii="仿宋" w:hAnsi="仿宋" w:eastAsia="仿宋" w:cs="仿宋"/>
          <w:color w:val="auto"/>
          <w:sz w:val="32"/>
        </w:rPr>
        <w:t>指标-</w:t>
      </w:r>
      <w:r>
        <w:rPr>
          <w:rFonts w:hint="eastAsia" w:ascii="仿宋" w:hAnsi="仿宋" w:eastAsia="仿宋" w:cs="仿宋"/>
          <w:color w:val="auto"/>
          <w:sz w:val="32"/>
          <w:lang w:eastAsia="zh-CN"/>
        </w:rPr>
        <w:t>数量</w:t>
      </w:r>
      <w:r>
        <w:rPr>
          <w:rFonts w:hint="eastAsia" w:ascii="仿宋" w:hAnsi="仿宋" w:eastAsia="仿宋" w:cs="仿宋"/>
          <w:color w:val="auto"/>
          <w:sz w:val="32"/>
        </w:rPr>
        <w:t>指标-</w:t>
      </w:r>
      <w:r>
        <w:rPr>
          <w:rFonts w:hint="eastAsia" w:ascii="仿宋" w:hAnsi="仿宋" w:eastAsia="仿宋" w:cs="仿宋"/>
          <w:color w:val="auto"/>
          <w:sz w:val="32"/>
          <w:lang w:eastAsia="zh-CN"/>
        </w:rPr>
        <w:t>活动场次</w:t>
      </w:r>
      <w:r>
        <w:rPr>
          <w:rFonts w:hint="eastAsia" w:ascii="仿宋" w:hAnsi="仿宋" w:eastAsia="仿宋" w:cs="仿宋"/>
          <w:color w:val="auto"/>
          <w:sz w:val="32"/>
        </w:rPr>
        <w:t>：绩效目标为</w:t>
      </w:r>
      <w:r>
        <w:rPr>
          <w:rFonts w:hint="eastAsia" w:ascii="仿宋" w:hAnsi="仿宋" w:eastAsia="仿宋" w:cs="仿宋"/>
          <w:color w:val="auto"/>
          <w:sz w:val="32"/>
          <w:lang w:val="en-US" w:eastAsia="zh-CN"/>
        </w:rPr>
        <w:t>25场次</w:t>
      </w:r>
      <w:r>
        <w:rPr>
          <w:rFonts w:hint="eastAsia" w:ascii="仿宋" w:hAnsi="仿宋" w:eastAsia="仿宋" w:cs="仿宋"/>
          <w:color w:val="auto"/>
          <w:sz w:val="32"/>
        </w:rPr>
        <w:t>，2022年度实际完成</w:t>
      </w:r>
      <w:r>
        <w:rPr>
          <w:rFonts w:hint="eastAsia" w:ascii="仿宋" w:hAnsi="仿宋" w:eastAsia="仿宋" w:cs="仿宋"/>
          <w:color w:val="auto"/>
          <w:sz w:val="32"/>
          <w:lang w:eastAsia="zh-CN"/>
        </w:rPr>
        <w:t>活动场次</w:t>
      </w:r>
      <w:r>
        <w:rPr>
          <w:rFonts w:hint="eastAsia" w:ascii="仿宋" w:hAnsi="仿宋" w:eastAsia="仿宋" w:cs="仿宋"/>
          <w:color w:val="auto"/>
          <w:sz w:val="32"/>
          <w:lang w:val="en-US" w:eastAsia="zh-CN"/>
        </w:rPr>
        <w:t>25次</w:t>
      </w:r>
      <w:r>
        <w:rPr>
          <w:rFonts w:hint="eastAsia" w:ascii="仿宋" w:hAnsi="仿宋" w:eastAsia="仿宋" w:cs="仿宋"/>
          <w:color w:val="auto"/>
          <w:sz w:val="32"/>
        </w:rPr>
        <w:t>，绩效指标完成情况为优；</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产出指标-数量指标-</w:t>
      </w:r>
      <w:r>
        <w:rPr>
          <w:rFonts w:hint="eastAsia" w:ascii="仿宋" w:hAnsi="仿宋" w:eastAsia="仿宋" w:cs="仿宋"/>
          <w:color w:val="auto"/>
          <w:sz w:val="32"/>
          <w:lang w:eastAsia="zh-CN"/>
        </w:rPr>
        <w:t>会议</w:t>
      </w:r>
      <w:r>
        <w:rPr>
          <w:rFonts w:hint="eastAsia" w:ascii="仿宋" w:hAnsi="仿宋" w:eastAsia="仿宋" w:cs="仿宋"/>
          <w:color w:val="auto"/>
          <w:sz w:val="32"/>
        </w:rPr>
        <w:t>面积：绩效目标为</w:t>
      </w:r>
      <w:r>
        <w:rPr>
          <w:rFonts w:hint="eastAsia" w:ascii="仿宋" w:hAnsi="仿宋" w:eastAsia="仿宋" w:cs="仿宋"/>
          <w:color w:val="auto"/>
          <w:sz w:val="32"/>
          <w:lang w:val="en-US" w:eastAsia="zh-CN"/>
        </w:rPr>
        <w:t>4000</w:t>
      </w:r>
      <w:r>
        <w:rPr>
          <w:rFonts w:hint="eastAsia" w:ascii="仿宋" w:hAnsi="仿宋" w:eastAsia="仿宋" w:cs="仿宋"/>
          <w:color w:val="auto"/>
          <w:sz w:val="32"/>
        </w:rPr>
        <w:t>平方米，2022年度实际完成展览面积</w:t>
      </w:r>
      <w:r>
        <w:rPr>
          <w:rFonts w:hint="eastAsia" w:ascii="仿宋" w:hAnsi="仿宋" w:eastAsia="仿宋" w:cs="仿宋"/>
          <w:color w:val="auto"/>
          <w:sz w:val="32"/>
          <w:lang w:val="en-US" w:eastAsia="zh-CN"/>
        </w:rPr>
        <w:t>4000</w:t>
      </w:r>
      <w:r>
        <w:rPr>
          <w:rFonts w:hint="eastAsia" w:ascii="仿宋" w:hAnsi="仿宋" w:eastAsia="仿宋" w:cs="仿宋"/>
          <w:color w:val="auto"/>
          <w:sz w:val="32"/>
        </w:rPr>
        <w:t>平方米，绩效指标完成情况为优；</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产出指标-数量指标-参会人数：绩效目标为</w:t>
      </w:r>
      <w:r>
        <w:rPr>
          <w:rFonts w:hint="eastAsia" w:ascii="仿宋" w:hAnsi="仿宋" w:eastAsia="仿宋" w:cs="仿宋"/>
          <w:color w:val="auto"/>
          <w:sz w:val="32"/>
          <w:lang w:val="en-US" w:eastAsia="zh-CN"/>
        </w:rPr>
        <w:t>60</w:t>
      </w:r>
      <w:r>
        <w:rPr>
          <w:rFonts w:hint="eastAsia" w:ascii="仿宋" w:hAnsi="仿宋" w:eastAsia="仿宋" w:cs="仿宋"/>
          <w:color w:val="auto"/>
          <w:sz w:val="32"/>
        </w:rPr>
        <w:t>00人次，2022年度实际完成参会人数</w:t>
      </w:r>
      <w:r>
        <w:rPr>
          <w:rFonts w:hint="eastAsia" w:ascii="仿宋" w:hAnsi="仿宋" w:eastAsia="仿宋" w:cs="仿宋"/>
          <w:color w:val="auto"/>
          <w:sz w:val="32"/>
          <w:lang w:val="en-US" w:eastAsia="zh-CN"/>
        </w:rPr>
        <w:t>6802</w:t>
      </w:r>
      <w:r>
        <w:rPr>
          <w:rFonts w:hint="eastAsia" w:ascii="仿宋" w:hAnsi="仿宋" w:eastAsia="仿宋" w:cs="仿宋"/>
          <w:color w:val="auto"/>
          <w:sz w:val="32"/>
        </w:rPr>
        <w:t>人次，绩效指标完成情况为优；</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产出指标-数量指标-</w:t>
      </w:r>
      <w:r>
        <w:rPr>
          <w:rFonts w:hint="eastAsia" w:ascii="仿宋" w:hAnsi="仿宋" w:eastAsia="仿宋" w:cs="仿宋"/>
          <w:color w:val="auto"/>
          <w:sz w:val="32"/>
          <w:lang w:eastAsia="zh-CN"/>
        </w:rPr>
        <w:t>高端嘉宾</w:t>
      </w:r>
      <w:r>
        <w:rPr>
          <w:rFonts w:hint="eastAsia" w:ascii="仿宋" w:hAnsi="仿宋" w:eastAsia="仿宋" w:cs="仿宋"/>
          <w:color w:val="auto"/>
          <w:sz w:val="32"/>
        </w:rPr>
        <w:t>：绩效目标为</w:t>
      </w:r>
      <w:r>
        <w:rPr>
          <w:rFonts w:hint="eastAsia" w:ascii="仿宋" w:hAnsi="仿宋" w:eastAsia="仿宋" w:cs="仿宋"/>
          <w:color w:val="auto"/>
          <w:sz w:val="32"/>
          <w:lang w:val="en-US" w:eastAsia="zh-CN"/>
        </w:rPr>
        <w:t>8人</w:t>
      </w:r>
      <w:r>
        <w:rPr>
          <w:rFonts w:hint="eastAsia" w:ascii="仿宋" w:hAnsi="仿宋" w:eastAsia="仿宋" w:cs="仿宋"/>
          <w:color w:val="auto"/>
          <w:sz w:val="32"/>
        </w:rPr>
        <w:t>，2022年度实际</w:t>
      </w:r>
      <w:r>
        <w:rPr>
          <w:rFonts w:hint="eastAsia" w:ascii="仿宋" w:hAnsi="仿宋" w:eastAsia="仿宋" w:cs="仿宋"/>
          <w:color w:val="auto"/>
          <w:sz w:val="32"/>
          <w:lang w:eastAsia="zh-CN"/>
        </w:rPr>
        <w:t>完成高端嘉宾参加人数</w:t>
      </w:r>
      <w:r>
        <w:rPr>
          <w:rFonts w:hint="eastAsia" w:ascii="仿宋" w:hAnsi="仿宋" w:eastAsia="仿宋" w:cs="仿宋"/>
          <w:color w:val="auto"/>
          <w:sz w:val="32"/>
          <w:lang w:val="en-US" w:eastAsia="zh-CN"/>
        </w:rPr>
        <w:t>8人</w:t>
      </w:r>
      <w:r>
        <w:rPr>
          <w:rFonts w:hint="eastAsia" w:ascii="仿宋" w:hAnsi="仿宋" w:eastAsia="仿宋" w:cs="仿宋"/>
          <w:color w:val="auto"/>
          <w:sz w:val="32"/>
        </w:rPr>
        <w:t>，绩效指标完成情况为优；</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效益指标-</w:t>
      </w:r>
      <w:r>
        <w:rPr>
          <w:rFonts w:hint="eastAsia" w:ascii="仿宋" w:hAnsi="仿宋" w:eastAsia="仿宋" w:cs="仿宋"/>
          <w:color w:val="auto"/>
          <w:sz w:val="32"/>
          <w:lang w:eastAsia="zh-CN"/>
        </w:rPr>
        <w:t>经济效益指标</w:t>
      </w:r>
      <w:r>
        <w:rPr>
          <w:rFonts w:hint="eastAsia" w:ascii="仿宋" w:hAnsi="仿宋" w:eastAsia="仿宋" w:cs="仿宋"/>
          <w:color w:val="auto"/>
          <w:sz w:val="32"/>
        </w:rPr>
        <w:t>-</w:t>
      </w:r>
      <w:r>
        <w:rPr>
          <w:rFonts w:hint="eastAsia" w:ascii="仿宋" w:hAnsi="仿宋" w:eastAsia="仿宋" w:cs="仿宋"/>
          <w:color w:val="auto"/>
          <w:sz w:val="32"/>
          <w:lang w:eastAsia="zh-CN"/>
        </w:rPr>
        <w:t>现场签约金额</w:t>
      </w:r>
      <w:r>
        <w:rPr>
          <w:rFonts w:hint="eastAsia" w:ascii="仿宋" w:hAnsi="仿宋" w:eastAsia="仿宋" w:cs="仿宋"/>
          <w:color w:val="auto"/>
          <w:sz w:val="32"/>
        </w:rPr>
        <w:t>：绩效目标为</w:t>
      </w:r>
      <w:r>
        <w:rPr>
          <w:rFonts w:hint="eastAsia" w:ascii="仿宋" w:hAnsi="仿宋" w:eastAsia="仿宋" w:cs="仿宋"/>
          <w:color w:val="auto"/>
          <w:sz w:val="32"/>
          <w:lang w:val="en-US" w:eastAsia="zh-CN"/>
        </w:rPr>
        <w:t>30亿元</w:t>
      </w:r>
      <w:r>
        <w:rPr>
          <w:rFonts w:hint="eastAsia" w:ascii="仿宋" w:hAnsi="仿宋" w:eastAsia="仿宋" w:cs="仿宋"/>
          <w:color w:val="auto"/>
          <w:sz w:val="32"/>
        </w:rPr>
        <w:t>，2022年度实际完成</w:t>
      </w:r>
      <w:r>
        <w:rPr>
          <w:rFonts w:hint="eastAsia" w:ascii="仿宋" w:hAnsi="仿宋" w:eastAsia="仿宋" w:cs="仿宋"/>
          <w:color w:val="auto"/>
          <w:sz w:val="32"/>
          <w:lang w:eastAsia="zh-CN"/>
        </w:rPr>
        <w:t>现场签约金额</w:t>
      </w:r>
      <w:r>
        <w:rPr>
          <w:rFonts w:hint="eastAsia" w:ascii="仿宋" w:hAnsi="仿宋" w:eastAsia="仿宋" w:cs="仿宋"/>
          <w:color w:val="auto"/>
          <w:sz w:val="32"/>
          <w:lang w:val="en-US" w:eastAsia="zh-CN"/>
        </w:rPr>
        <w:t>50亿元</w:t>
      </w:r>
      <w:r>
        <w:rPr>
          <w:rFonts w:hint="eastAsia" w:ascii="仿宋" w:hAnsi="仿宋" w:eastAsia="仿宋" w:cs="仿宋"/>
          <w:color w:val="auto"/>
          <w:sz w:val="32"/>
        </w:rPr>
        <w:t>，绩效指标完成情况为优</w:t>
      </w:r>
      <w:r>
        <w:rPr>
          <w:rFonts w:ascii="仿宋" w:hAnsi="仿宋" w:eastAsia="仿宋" w:cs="仿宋"/>
          <w:color w:val="auto"/>
          <w:sz w:val="32"/>
        </w:rPr>
        <w:t>。</w:t>
      </w:r>
    </w:p>
    <w:p>
      <w:pPr>
        <w:pageBreakBefore w:val="0"/>
        <w:tabs>
          <w:tab w:val="center" w:pos="447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rPr>
      </w:pPr>
      <w:r>
        <w:rPr>
          <w:rFonts w:hint="eastAsia" w:ascii="仿宋" w:hAnsi="仿宋" w:eastAsia="仿宋" w:cs="仿宋"/>
          <w:color w:val="auto"/>
          <w:sz w:val="32"/>
        </w:rPr>
        <w:t>效益指标-可持续影响-</w:t>
      </w:r>
      <w:r>
        <w:rPr>
          <w:rFonts w:hint="eastAsia" w:ascii="仿宋" w:hAnsi="仿宋" w:eastAsia="仿宋" w:cs="仿宋"/>
          <w:color w:val="auto"/>
          <w:sz w:val="32"/>
          <w:lang w:eastAsia="zh-CN"/>
        </w:rPr>
        <w:t>直播平台观看人数</w:t>
      </w:r>
      <w:r>
        <w:rPr>
          <w:rFonts w:hint="eastAsia" w:ascii="仿宋" w:hAnsi="仿宋" w:eastAsia="仿宋" w:cs="仿宋"/>
          <w:color w:val="auto"/>
          <w:sz w:val="32"/>
        </w:rPr>
        <w:t>：绩效目标为</w:t>
      </w:r>
      <w:r>
        <w:rPr>
          <w:rFonts w:hint="eastAsia" w:ascii="仿宋" w:hAnsi="仿宋" w:eastAsia="仿宋" w:cs="仿宋"/>
          <w:color w:val="auto"/>
          <w:sz w:val="32"/>
          <w:lang w:val="en-US" w:eastAsia="zh-CN"/>
        </w:rPr>
        <w:t>1</w:t>
      </w:r>
      <w:r>
        <w:rPr>
          <w:rFonts w:hint="eastAsia" w:ascii="仿宋" w:hAnsi="仿宋" w:eastAsia="仿宋" w:cs="仿宋"/>
          <w:color w:val="auto"/>
          <w:sz w:val="32"/>
        </w:rPr>
        <w:t>0</w:t>
      </w:r>
      <w:r>
        <w:rPr>
          <w:rFonts w:hint="eastAsia" w:ascii="仿宋" w:hAnsi="仿宋" w:eastAsia="仿宋" w:cs="仿宋"/>
          <w:color w:val="auto"/>
          <w:sz w:val="32"/>
          <w:lang w:eastAsia="zh-CN"/>
        </w:rPr>
        <w:t>万人</w:t>
      </w:r>
      <w:r>
        <w:rPr>
          <w:rFonts w:hint="eastAsia" w:ascii="仿宋" w:hAnsi="仿宋" w:eastAsia="仿宋" w:cs="仿宋"/>
          <w:color w:val="auto"/>
          <w:sz w:val="32"/>
        </w:rPr>
        <w:t>，2022年度实际完成</w:t>
      </w:r>
      <w:r>
        <w:rPr>
          <w:rFonts w:hint="eastAsia" w:ascii="仿宋" w:hAnsi="仿宋" w:eastAsia="仿宋" w:cs="仿宋"/>
          <w:color w:val="auto"/>
          <w:sz w:val="32"/>
          <w:lang w:eastAsia="zh-CN"/>
        </w:rPr>
        <w:t>直播平台观</w:t>
      </w:r>
      <w:bookmarkStart w:id="0" w:name="_GoBack"/>
      <w:bookmarkEnd w:id="0"/>
      <w:r>
        <w:rPr>
          <w:rFonts w:hint="eastAsia" w:ascii="仿宋" w:hAnsi="仿宋" w:eastAsia="仿宋" w:cs="仿宋"/>
          <w:color w:val="auto"/>
          <w:sz w:val="32"/>
          <w:lang w:eastAsia="zh-CN"/>
        </w:rPr>
        <w:t>看人数</w:t>
      </w:r>
      <w:r>
        <w:rPr>
          <w:rFonts w:hint="eastAsia" w:ascii="仿宋" w:hAnsi="仿宋" w:eastAsia="仿宋" w:cs="仿宋"/>
          <w:color w:val="auto"/>
          <w:sz w:val="32"/>
          <w:lang w:val="en-US" w:eastAsia="zh-CN"/>
        </w:rPr>
        <w:t>1.1亿人次</w:t>
      </w:r>
      <w:r>
        <w:rPr>
          <w:rFonts w:hint="eastAsia" w:ascii="仿宋" w:hAnsi="仿宋" w:eastAsia="仿宋" w:cs="仿宋"/>
          <w:color w:val="auto"/>
          <w:sz w:val="32"/>
        </w:rPr>
        <w:t>，绩效指标完成情况为优</w:t>
      </w:r>
      <w:r>
        <w:rPr>
          <w:rFonts w:ascii="仿宋" w:hAnsi="仿宋" w:eastAsia="仿宋" w:cs="仿宋"/>
          <w:color w:val="auto"/>
          <w:sz w:val="32"/>
        </w:rPr>
        <w:t>。</w:t>
      </w:r>
    </w:p>
    <w:p>
      <w:pPr>
        <w:keepNext w:val="0"/>
        <w:keepLines w:val="0"/>
        <w:pageBreakBefore w:val="0"/>
        <w:numPr>
          <w:ilvl w:val="0"/>
          <w:numId w:val="1"/>
        </w:numPr>
        <w:tabs>
          <w:tab w:val="center" w:pos="4473"/>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项目的效益性分析</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际潮团联谊年会是全球近6000万潮籍乡亲最有影响力的“侨”字号国际盛会和规模最大的涉侨交流联谊平台。本届年会线上线下参会人数6802人，年会直播平台线上观看人数约15.3万人，潮团微信直播观看人数超过2万，图片直播浏览量超12万、点赞量超5万，微博话题浏览量1.1亿次。年会举办宣传页翻译成英文、俄文、法文、葡文、西班牙文、哈萨克文、阿拉伯文、马来文、日文、韩文、意大利文、希腊文、德文、斯瓦西里文、泰文等15门外语在人民网海外渠道投放，估计可覆盖超过6000万华人华侨。</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会期间，儿童民族药产学研基地、洋浦保税区大宗商品贸易业务、鳄鱼肽生物制品产业化开发项目、三亚市梅村产业园物流中心等项目签约，海口国家高新技术产业开发区、洋浦经济开发区、海南大学、三亚交通投资集团有限公司、康芝药业股份有限公司、海南南国健康产业有限公司、厦门鼍龙实业有限责任公司等多家机构参与签约，签约额超过50亿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海南省潮商经济促进会、阿联酋潮汕总商会、荷兰潮州同乡会、法国潮州会馆、美国潮商总会、加拿大潮商会、马来西亚潮州工商总会等国际知名潮团发起全球自由贸易港商业联盟，并在年会上签署《海南共识》倡议书。立足海南自由贸易港的战略定位，充分发挥自由贸易港的资源优势，深化各大自由贸易港(区)在资金、人才、技术、信息、数据等领域务实合作，推动包括海南自由贸易港在内的全球新兴自由贸易港(区)的发展，依托中国日益庞大的消费市场，形成全球范围内自由贸易资源共享格局。以“侨”架“桥”共享全球自贸港商业机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自贸港“一带一路”高级别经济合作论坛暨国际潮商经济合作组织大会上，来自中国、泰国、缅甸、联合国的</w:t>
      </w:r>
      <w:r>
        <w:rPr>
          <w:rFonts w:hint="eastAsia" w:ascii="仿宋_GB2312" w:hAnsi="仿宋_GB2312" w:eastAsia="仿宋_GB2312" w:cs="仿宋_GB2312"/>
          <w:color w:val="000000"/>
          <w:kern w:val="0"/>
          <w:sz w:val="32"/>
          <w:szCs w:val="32"/>
          <w:lang w:val="en-US" w:eastAsia="zh-CN"/>
        </w:rPr>
        <w:t>海内外嘉宾围绕“践行全球发展倡议，推动绿色可持续发展”主题，深入探讨实现可持续发展目标的最佳解决方案，为完善全球环境治理，加快绿色低碳转型，实现绿色复苏发展贡献潮商智慧。海南岛作为全球最大的自贸港，在“一带一路”中发挥尤为重要的作用。环境、经济、区域、文化等方面的绿色可持续发展成为被探索的重要议题，这也正是联合国践行全球发展倡议，推进绿色可持续发展的重要举措。柬埔寨、菲律宾等“一带一路”沿线国家的政府代表向论坛发来祝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rPr>
        <w:t>三江汇流聚潮人，百川入海襄盛举。第21届年会充分发挥国际平台作用，大力促进海南地区与全球资源的整合与共享，推动多领域多层次的经济增长，传播源远流长的潮汕优秀文化，向全世界展现潮人的风采。年会虽已落幕，但海内外潮商与海南自贸港的故事才刚刚起笔，未来潮商将与海南自贸港碰撞出更为精彩的篇章。</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w:t>
      </w:r>
      <w:r>
        <w:rPr>
          <w:rFonts w:hint="eastAsia" w:ascii="楷体" w:hAnsi="楷体" w:eastAsia="楷体" w:cs="楷体"/>
          <w:sz w:val="32"/>
          <w:szCs w:val="32"/>
          <w:lang w:eastAsia="zh-CN"/>
        </w:rPr>
        <w:t>项目</w:t>
      </w:r>
      <w:r>
        <w:rPr>
          <w:rFonts w:hint="eastAsia" w:ascii="楷体" w:hAnsi="楷体" w:eastAsia="楷体" w:cs="楷体"/>
          <w:sz w:val="32"/>
          <w:szCs w:val="32"/>
        </w:rPr>
        <w:t>绩效目标未完成原因分析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预算绩效目标都已完成。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综合评价情况及评价结论</w:t>
      </w:r>
    </w:p>
    <w:p>
      <w:pPr>
        <w:pStyle w:val="3"/>
        <w:keepNext w:val="0"/>
        <w:keepLines w:val="0"/>
        <w:pageBreakBefore w:val="0"/>
        <w:kinsoku/>
        <w:wordWrap/>
        <w:overflowPunct/>
        <w:topLinePunct w:val="0"/>
        <w:autoSpaceDE/>
        <w:autoSpaceDN/>
        <w:bidi w:val="0"/>
        <w:adjustRightInd w:val="0"/>
        <w:snapToGrid w:val="0"/>
        <w:spacing w:after="0"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年会</w:t>
      </w:r>
      <w:r>
        <w:rPr>
          <w:rFonts w:hint="eastAsia" w:ascii="仿宋_GB2312" w:hAnsi="仿宋_GB2312" w:eastAsia="仿宋_GB2312" w:cs="仿宋_GB2312"/>
          <w:sz w:val="32"/>
          <w:szCs w:val="32"/>
        </w:rPr>
        <w:t>方案及预期目标，我会积极</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lang w:val="en-US" w:eastAsia="zh-CN"/>
        </w:rPr>
        <w:t>前期筹备、宣传和</w:t>
      </w:r>
      <w:r>
        <w:rPr>
          <w:rFonts w:hint="eastAsia" w:ascii="仿宋_GB2312" w:hAnsi="仿宋_GB2312" w:eastAsia="仿宋_GB2312" w:cs="仿宋_GB2312"/>
          <w:sz w:val="32"/>
          <w:szCs w:val="32"/>
          <w:lang w:eastAsia="zh-CN"/>
        </w:rPr>
        <w:t>招商工作</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rPr>
        <w:t>该项目从可持续发展角度而言，整体发挥的社会效益明显，极大的促进了</w:t>
      </w:r>
      <w:r>
        <w:rPr>
          <w:rFonts w:hint="eastAsia" w:ascii="仿宋_GB2312" w:hAnsi="仿宋_GB2312" w:eastAsia="仿宋_GB2312" w:cs="仿宋_GB2312"/>
          <w:sz w:val="32"/>
          <w:szCs w:val="32"/>
          <w:lang w:val="en-US" w:eastAsia="zh-CN"/>
        </w:rPr>
        <w:t>海南自由贸易港建设</w:t>
      </w:r>
      <w:r>
        <w:rPr>
          <w:rFonts w:hint="eastAsia" w:ascii="仿宋" w:hAnsi="仿宋" w:eastAsia="仿宋" w:cs="仿宋"/>
          <w:sz w:val="32"/>
          <w:szCs w:val="32"/>
        </w:rPr>
        <w:t>。本项目评价指标评分，综合得分</w:t>
      </w:r>
      <w:r>
        <w:rPr>
          <w:rFonts w:hint="eastAsia" w:ascii="仿宋" w:hAnsi="仿宋" w:eastAsia="仿宋" w:cs="仿宋"/>
          <w:sz w:val="32"/>
          <w:szCs w:val="32"/>
          <w:lang w:val="en-US" w:eastAsia="zh-CN"/>
        </w:rPr>
        <w:t>92</w:t>
      </w:r>
      <w:r>
        <w:rPr>
          <w:rFonts w:hint="eastAsia" w:ascii="仿宋" w:hAnsi="仿宋" w:eastAsia="仿宋" w:cs="仿宋"/>
          <w:sz w:val="32"/>
          <w:szCs w:val="32"/>
        </w:rPr>
        <w:t>分，评价等级为优秀。</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六、主要经验及做法、存在的问题和建议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（一）主要经验及做法</w:t>
      </w:r>
    </w:p>
    <w:p>
      <w:pPr>
        <w:keepNext w:val="0"/>
        <w:keepLines w:val="0"/>
        <w:pageBreakBefore w:val="0"/>
        <w:kinsoku/>
        <w:wordWrap/>
        <w:overflowPunct/>
        <w:topLinePunct w:val="0"/>
        <w:autoSpaceDE/>
        <w:autoSpaceDN/>
        <w:bidi w:val="0"/>
        <w:adjustRightInd w:val="0"/>
        <w:snapToGrid w:val="0"/>
        <w:spacing w:line="560" w:lineRule="exact"/>
        <w:ind w:firstLine="627"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kern w:val="0"/>
          <w:sz w:val="32"/>
          <w:szCs w:val="32"/>
        </w:rPr>
        <w:t>1、</w:t>
      </w:r>
      <w:r>
        <w:rPr>
          <w:rFonts w:hint="eastAsia" w:ascii="仿宋_GB2312" w:hAnsi="仿宋_GB2312" w:eastAsia="仿宋_GB2312" w:cs="仿宋_GB2312"/>
          <w:sz w:val="32"/>
          <w:szCs w:val="32"/>
        </w:rPr>
        <w:t>严格执行</w:t>
      </w:r>
      <w:r>
        <w:rPr>
          <w:rFonts w:hint="eastAsia" w:ascii="仿宋_GB2312" w:hAnsi="仿宋_GB2312" w:eastAsia="仿宋_GB2312" w:cs="仿宋_GB2312"/>
          <w:sz w:val="32"/>
          <w:szCs w:val="32"/>
          <w:lang w:eastAsia="zh-CN"/>
        </w:rPr>
        <w:t>方案</w:t>
      </w:r>
      <w:r>
        <w:rPr>
          <w:rFonts w:hint="eastAsia" w:ascii="仿宋_GB2312" w:hAnsi="仿宋_GB2312" w:eastAsia="仿宋_GB2312" w:cs="仿宋_GB2312"/>
          <w:sz w:val="32"/>
          <w:szCs w:val="32"/>
        </w:rPr>
        <w:t>，确保项目质量</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en-US" w:eastAsia="zh-CN"/>
        </w:rPr>
        <w:t>在海南省人民政府、海南省委统战部、海南省商务厅、海南省贸促会等部门的指导和监督下，仔细谋划、认真策划年会方案并要严格执行。海南省潮商经济促进会作为</w:t>
      </w:r>
      <w:r>
        <w:rPr>
          <w:rFonts w:hint="eastAsia" w:ascii="仿宋_GB2312" w:hAnsi="仿宋_GB2312" w:eastAsia="仿宋_GB2312" w:cs="仿宋_GB2312"/>
          <w:sz w:val="32"/>
          <w:szCs w:val="32"/>
          <w:lang w:eastAsia="zh-CN"/>
        </w:rPr>
        <w:t>整个</w:t>
      </w:r>
      <w:r>
        <w:rPr>
          <w:rFonts w:hint="eastAsia" w:ascii="仿宋_GB2312" w:hAnsi="仿宋_GB2312" w:eastAsia="仿宋_GB2312" w:cs="仿宋_GB2312"/>
          <w:sz w:val="32"/>
          <w:szCs w:val="32"/>
          <w:lang w:val="en-US" w:eastAsia="zh-CN"/>
        </w:rPr>
        <w:t>年会</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主办方，切实履行责任，按照计划开展</w:t>
      </w:r>
      <w:r>
        <w:rPr>
          <w:rFonts w:hint="eastAsia" w:ascii="仿宋_GB2312" w:hAnsi="仿宋_GB2312" w:eastAsia="仿宋_GB2312" w:cs="仿宋_GB2312"/>
          <w:sz w:val="32"/>
          <w:szCs w:val="32"/>
          <w:lang w:eastAsia="zh-CN"/>
        </w:rPr>
        <w:t>落地实施</w:t>
      </w:r>
      <w:r>
        <w:rPr>
          <w:rFonts w:hint="eastAsia" w:ascii="仿宋_GB2312" w:hAnsi="仿宋_GB2312" w:eastAsia="仿宋_GB2312" w:cs="仿宋_GB2312"/>
          <w:sz w:val="32"/>
          <w:szCs w:val="32"/>
        </w:rPr>
        <w:t>工作，对项目资金预算和资金使用进行</w:t>
      </w:r>
      <w:r>
        <w:rPr>
          <w:rFonts w:hint="eastAsia" w:ascii="仿宋_GB2312" w:hAnsi="仿宋_GB2312" w:eastAsia="仿宋_GB2312" w:cs="仿宋_GB2312"/>
          <w:sz w:val="32"/>
          <w:szCs w:val="32"/>
          <w:lang w:eastAsia="zh-CN"/>
        </w:rPr>
        <w:t>严格把控</w:t>
      </w:r>
      <w:r>
        <w:rPr>
          <w:rFonts w:hint="eastAsia" w:ascii="仿宋_GB2312" w:hAnsi="仿宋_GB2312" w:eastAsia="仿宋_GB2312" w:cs="仿宋_GB2312"/>
          <w:sz w:val="32"/>
          <w:szCs w:val="32"/>
        </w:rPr>
        <w:t>。在项目</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过程中，严格按照</w:t>
      </w:r>
      <w:r>
        <w:rPr>
          <w:rFonts w:hint="eastAsia" w:ascii="仿宋_GB2312" w:hAnsi="仿宋_GB2312" w:eastAsia="仿宋_GB2312" w:cs="仿宋_GB2312"/>
          <w:sz w:val="32"/>
          <w:szCs w:val="32"/>
          <w:lang w:eastAsia="zh-CN"/>
        </w:rPr>
        <w:t>财务管理</w:t>
      </w:r>
      <w:r>
        <w:rPr>
          <w:rFonts w:hint="eastAsia" w:ascii="仿宋_GB2312" w:hAnsi="仿宋_GB2312" w:eastAsia="仿宋_GB2312" w:cs="仿宋_GB2312"/>
          <w:sz w:val="32"/>
          <w:szCs w:val="32"/>
        </w:rPr>
        <w:t>制度执行，操作规范。</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2、强化督促检查，保质保量完成建设任务</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en-US" w:eastAsia="zh-CN"/>
        </w:rPr>
        <w:t>海南省委统战部、海南省商务厅、</w:t>
      </w:r>
      <w:r>
        <w:rPr>
          <w:rFonts w:hint="eastAsia" w:ascii="仿宋_GB2312" w:hAnsi="仿宋_GB2312" w:eastAsia="仿宋_GB2312" w:cs="仿宋_GB2312"/>
          <w:sz w:val="32"/>
          <w:szCs w:val="32"/>
          <w:lang w:eastAsia="zh-CN"/>
        </w:rPr>
        <w:t>海南省贸促会</w:t>
      </w:r>
      <w:r>
        <w:rPr>
          <w:rFonts w:hint="eastAsia" w:ascii="仿宋_GB2312" w:hAnsi="仿宋_GB2312" w:eastAsia="仿宋_GB2312" w:cs="仿宋_GB2312"/>
          <w:sz w:val="32"/>
          <w:szCs w:val="32"/>
        </w:rPr>
        <w:t>加强对</w:t>
      </w:r>
      <w:r>
        <w:rPr>
          <w:rFonts w:hint="eastAsia" w:ascii="仿宋_GB2312" w:hAnsi="仿宋_GB2312" w:eastAsia="仿宋_GB2312" w:cs="仿宋_GB2312"/>
          <w:sz w:val="32"/>
          <w:szCs w:val="32"/>
          <w:lang w:val="en-US" w:eastAsia="zh-CN"/>
        </w:rPr>
        <w:t>2022国际潮团联谊年会</w:t>
      </w:r>
      <w:r>
        <w:rPr>
          <w:rFonts w:hint="eastAsia" w:ascii="仿宋_GB2312" w:hAnsi="仿宋_GB2312" w:eastAsia="仿宋_GB2312" w:cs="仿宋_GB2312"/>
          <w:sz w:val="32"/>
          <w:szCs w:val="32"/>
        </w:rPr>
        <w:t>的督促检查，及时了解工作进展情况，积极</w:t>
      </w:r>
      <w:r>
        <w:rPr>
          <w:rFonts w:hint="eastAsia" w:ascii="仿宋_GB2312" w:hAnsi="仿宋_GB2312" w:eastAsia="仿宋_GB2312" w:cs="仿宋_GB2312"/>
          <w:sz w:val="32"/>
          <w:szCs w:val="32"/>
          <w:lang w:eastAsia="zh-CN"/>
        </w:rPr>
        <w:t>帮助我会解决相关困难，并</w:t>
      </w:r>
      <w:r>
        <w:rPr>
          <w:rFonts w:hint="eastAsia" w:ascii="仿宋_GB2312" w:hAnsi="仿宋_GB2312" w:eastAsia="仿宋_GB2312" w:cs="仿宋_GB2312"/>
          <w:sz w:val="32"/>
          <w:szCs w:val="32"/>
        </w:rPr>
        <w:t>加强对项目的监督工作。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（二）存在问题</w:t>
      </w:r>
    </w:p>
    <w:p>
      <w:pPr>
        <w:keepNext w:val="0"/>
        <w:keepLines w:val="0"/>
        <w:pageBreakBefore w:val="0"/>
        <w:kinsoku/>
        <w:wordWrap/>
        <w:overflowPunct/>
        <w:topLinePunct w:val="0"/>
        <w:autoSpaceDE/>
        <w:autoSpaceDN/>
        <w:bidi w:val="0"/>
        <w:adjustRightInd w:val="0"/>
        <w:snapToGrid w:val="0"/>
        <w:spacing w:line="560" w:lineRule="exact"/>
        <w:ind w:firstLine="64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本届</w:t>
      </w:r>
      <w:r>
        <w:rPr>
          <w:rFonts w:hint="eastAsia" w:ascii="仿宋_GB2312" w:hAnsi="仿宋_GB2312" w:eastAsia="仿宋_GB2312" w:cs="仿宋_GB2312"/>
          <w:sz w:val="32"/>
          <w:szCs w:val="32"/>
          <w:lang w:val="en-US" w:eastAsia="zh-CN"/>
        </w:rPr>
        <w:t>年会</w:t>
      </w:r>
      <w:r>
        <w:rPr>
          <w:rFonts w:hint="eastAsia" w:ascii="仿宋_GB2312" w:hAnsi="仿宋_GB2312" w:eastAsia="仿宋_GB2312" w:cs="仿宋_GB2312"/>
          <w:sz w:val="32"/>
          <w:szCs w:val="32"/>
        </w:rPr>
        <w:t>虽</w:t>
      </w:r>
      <w:r>
        <w:rPr>
          <w:rFonts w:hint="eastAsia" w:ascii="仿宋_GB2312" w:hAnsi="仿宋_GB2312" w:eastAsia="仿宋_GB2312" w:cs="仿宋_GB2312"/>
          <w:sz w:val="32"/>
          <w:szCs w:val="32"/>
          <w:lang w:val="en-US" w:eastAsia="zh-CN"/>
        </w:rPr>
        <w:t>获得</w:t>
      </w:r>
      <w:r>
        <w:rPr>
          <w:rFonts w:hint="eastAsia" w:ascii="仿宋_GB2312" w:hAnsi="仿宋_GB2312" w:eastAsia="仿宋_GB2312" w:cs="仿宋_GB2312"/>
          <w:sz w:val="32"/>
          <w:szCs w:val="32"/>
        </w:rPr>
        <w:t>社会各界的普遍好评，但仍存在不少有亟待提高的地方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国际化程度需要进一步提升。受新冠肺炎疫情影响，</w:t>
      </w:r>
      <w:r>
        <w:rPr>
          <w:rFonts w:hint="eastAsia" w:ascii="仿宋_GB2312" w:hAnsi="仿宋_GB2312" w:eastAsia="仿宋_GB2312" w:cs="仿宋_GB2312"/>
          <w:sz w:val="32"/>
          <w:szCs w:val="32"/>
          <w:lang w:val="en-US" w:eastAsia="zh-CN"/>
        </w:rPr>
        <w:t>线下的外国参会人员数量不多</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（三）建议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一是做好活动评估和总结。认真评估</w:t>
      </w:r>
      <w:r>
        <w:rPr>
          <w:rFonts w:hint="eastAsia" w:ascii="仿宋_GB2312" w:hAnsi="仿宋_GB2312" w:eastAsia="仿宋_GB2312" w:cs="仿宋_GB2312"/>
          <w:sz w:val="32"/>
          <w:szCs w:val="32"/>
          <w:lang w:val="en-US" w:eastAsia="zh-CN"/>
        </w:rPr>
        <w:t>总体</w:t>
      </w:r>
      <w:r>
        <w:rPr>
          <w:rFonts w:hint="eastAsia" w:ascii="仿宋_GB2312" w:hAnsi="仿宋_GB2312" w:eastAsia="仿宋_GB2312" w:cs="仿宋_GB2312"/>
          <w:sz w:val="32"/>
          <w:szCs w:val="32"/>
        </w:rPr>
        <w:t>效果，深入探讨如何进一步提升</w:t>
      </w:r>
      <w:r>
        <w:rPr>
          <w:rFonts w:hint="eastAsia" w:ascii="仿宋_GB2312" w:hAnsi="仿宋_GB2312" w:eastAsia="仿宋_GB2312" w:cs="仿宋_GB2312"/>
          <w:sz w:val="32"/>
          <w:szCs w:val="32"/>
          <w:lang w:val="en-US" w:eastAsia="zh-CN"/>
        </w:rPr>
        <w:t>高端国际会议</w:t>
      </w:r>
      <w:r>
        <w:rPr>
          <w:rFonts w:hint="eastAsia" w:ascii="仿宋_GB2312" w:hAnsi="仿宋_GB2312" w:eastAsia="仿宋_GB2312" w:cs="仿宋_GB2312"/>
          <w:sz w:val="32"/>
          <w:szCs w:val="32"/>
        </w:rPr>
        <w:t>的质量、扩大活动影响力，吸引国际、国内知名企业</w:t>
      </w:r>
      <w:r>
        <w:rPr>
          <w:rFonts w:hint="eastAsia" w:ascii="仿宋_GB2312" w:hAnsi="仿宋_GB2312" w:eastAsia="仿宋_GB2312" w:cs="仿宋_GB2312"/>
          <w:sz w:val="32"/>
          <w:szCs w:val="32"/>
          <w:lang w:val="en-US" w:eastAsia="zh-CN"/>
        </w:rPr>
        <w:t>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行业精英</w:t>
      </w:r>
      <w:r>
        <w:rPr>
          <w:rFonts w:hint="eastAsia" w:ascii="仿宋_GB2312" w:hAnsi="仿宋_GB2312" w:eastAsia="仿宋_GB2312" w:cs="仿宋_GB2312"/>
          <w:sz w:val="32"/>
          <w:szCs w:val="32"/>
        </w:rPr>
        <w:t>参与。</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val="en-US" w:eastAsia="zh-CN"/>
        </w:rPr>
        <w:t>做好活动宣传工作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将海南自贸港与活动一起宣传，可将宣传效果最大化。另可选择不同国家媒体、平台进行宣传，覆盖面达到最广。</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七、其他需要说明的问题</w:t>
      </w:r>
    </w:p>
    <w:p>
      <w:pPr>
        <w:keepNext w:val="0"/>
        <w:keepLines w:val="0"/>
        <w:pageBreakBefore w:val="0"/>
        <w:kinsoku/>
        <w:wordWrap/>
        <w:overflowPunct/>
        <w:topLinePunct w:val="0"/>
        <w:autoSpaceDE/>
        <w:autoSpaceDN/>
        <w:bidi w:val="0"/>
        <w:adjustRightInd w:val="0"/>
        <w:snapToGrid w:val="0"/>
        <w:spacing w:line="560" w:lineRule="exact"/>
        <w:ind w:firstLine="648" w:firstLineChars="200"/>
        <w:textAlignment w:val="auto"/>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无</w:t>
      </w:r>
    </w:p>
    <w:p>
      <w:pPr>
        <w:wordWrap/>
        <w:adjustRightInd w:val="0"/>
        <w:snapToGrid w:val="0"/>
        <w:spacing w:line="560" w:lineRule="exact"/>
        <w:textAlignment w:val="auto"/>
        <w:rPr>
          <w:rFonts w:hint="eastAsia" w:ascii="仿宋_GB2312" w:hAnsi="仿宋_GB2312" w:eastAsia="仿宋_GB2312" w:cs="仿宋_GB2312"/>
          <w:sz w:val="32"/>
          <w:szCs w:val="32"/>
        </w:rPr>
      </w:pPr>
    </w:p>
    <w:sectPr>
      <w:footerReference r:id="rId3" w:type="default"/>
      <w:footerReference r:id="rId4" w:type="even"/>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Fonts w:hint="eastAsia" w:ascii="宋体" w:hAnsi="宋体"/>
        <w:sz w:val="28"/>
        <w:szCs w:val="28"/>
      </w:rPr>
    </w:pPr>
    <w:r>
      <w:rPr>
        <w:rStyle w:val="9"/>
        <w:rFonts w:hint="eastAsia" w:ascii="宋体" w:hAnsi="宋体"/>
        <w:sz w:val="28"/>
        <w:szCs w:val="28"/>
      </w:rPr>
      <w:t>—</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5</w:t>
    </w:r>
    <w:r>
      <w:rPr>
        <w:rFonts w:ascii="宋体" w:hAnsi="宋体"/>
        <w:sz w:val="28"/>
        <w:szCs w:val="28"/>
      </w:rPr>
      <w:fldChar w:fldCharType="end"/>
    </w:r>
    <w:r>
      <w:rPr>
        <w:rStyle w:val="9"/>
        <w:rFonts w:hint="eastAsia" w:ascii="宋体" w:hAnsi="宋体"/>
        <w:sz w:val="28"/>
        <w:szCs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fldChar w:fldCharType="begin"/>
    </w:r>
    <w:r>
      <w:rPr>
        <w:rStyle w:val="9"/>
      </w:rPr>
      <w:instrText xml:space="preserve">PAGE  </w:instrText>
    </w:r>
    <w:r>
      <w:fldChar w:fldCharType="separate"/>
    </w:r>
    <w:r>
      <w:rPr>
        <w:rStyle w:val="9"/>
      </w:rPr>
      <w:t>6</w:t>
    </w:r>
    <w: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0CC15D"/>
    <w:multiLevelType w:val="singleLevel"/>
    <w:tmpl w:val="5B0CC15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OGEzNzEzOTk0Zjg3NDc0YjQzMzE5ZmY5OGRjZWViYjkifQ=="/>
  </w:docVars>
  <w:rsids>
    <w:rsidRoot w:val="777D9611"/>
    <w:rsid w:val="03903851"/>
    <w:rsid w:val="04730FA8"/>
    <w:rsid w:val="0FBA55CD"/>
    <w:rsid w:val="1B8D2CA1"/>
    <w:rsid w:val="201142E1"/>
    <w:rsid w:val="221753E0"/>
    <w:rsid w:val="27677E21"/>
    <w:rsid w:val="28A6643F"/>
    <w:rsid w:val="36BB5604"/>
    <w:rsid w:val="3AED7D56"/>
    <w:rsid w:val="3B3B26B4"/>
    <w:rsid w:val="41C8713A"/>
    <w:rsid w:val="589D0E34"/>
    <w:rsid w:val="5BB64468"/>
    <w:rsid w:val="691C5FED"/>
    <w:rsid w:val="777D9611"/>
    <w:rsid w:val="779209E6"/>
    <w:rsid w:val="F9FB5F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7">
    <w:name w:val="Default Paragraph Font"/>
    <w:link w:val="8"/>
    <w:semiHidden/>
    <w:qFormat/>
    <w:uiPriority w:val="0"/>
    <w:rPr>
      <w:rFonts w:eastAsia="宋体"/>
      <w:sz w:val="21"/>
      <w:szCs w:val="20"/>
    </w:rPr>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rPr>
  </w:style>
  <w:style w:type="paragraph" w:customStyle="1" w:styleId="8">
    <w:name w:val="Char Char Char Char Char Char Char Char Char Char Char Char Char Char Char Char"/>
    <w:basedOn w:val="1"/>
    <w:link w:val="7"/>
    <w:qFormat/>
    <w:uiPriority w:val="0"/>
    <w:pPr>
      <w:widowControl/>
      <w:spacing w:after="160" w:afterLines="0" w:line="240" w:lineRule="exact"/>
      <w:jc w:val="left"/>
    </w:pPr>
    <w:rPr>
      <w:rFonts w:eastAsia="宋体"/>
      <w:sz w:val="21"/>
      <w:szCs w:val="20"/>
    </w:rPr>
  </w:style>
  <w:style w:type="character" w:styleId="9">
    <w:name w:val="page number"/>
    <w:basedOn w:val="7"/>
    <w:qFormat/>
    <w:uiPriority w:val="0"/>
  </w:style>
  <w:style w:type="paragraph" w:customStyle="1" w:styleId="10">
    <w:name w:val="p0"/>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3902</Words>
  <Characters>4023</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2023-04-25T14:30:00Z</dcterms:created>
  <dc:creator>tina</dc:creator>
  <cp:lastModifiedBy>uos</cp:lastModifiedBy>
  <dcterms:modified xsi:type="dcterms:W3CDTF">2024-04-19T17:56:03Z</dcterms:modified>
  <dc:title>2022国际潮团总会第21届国际潮团联谊年会项目支出绩效自评报告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8F70A620B4ED48CA9D1FEBB12C05BF8E_13</vt:lpwstr>
  </property>
</Properties>
</file>